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277/2007 vom 2. April 2008</w:t>
      </w:r>
    </w:p>
    <w:p>
      <w:r>
        <w:t>Bundesgericht, 2008-04-02, FR</w:t>
      </w:r>
    </w:p>
    <w:p>
      <w:r>
        <w:rPr>
          <w:b/>
        </w:rPr>
        <w:t xml:space="preserve">Quelle: </w:t>
      </w:r>
      <w:r>
        <w:t>https://mcp.opencaselaw.ch/entscheid/bger_8C_277_2007</w:t>
      </w:r>
    </w:p>
    <w:p>
      <w:r>
        <w:t>FR: TF 8C 277/2007 du 2 avril 2008</w:t>
      </w:r>
    </w:p>
    <w:p>
      <w:r>
        <w:t>IT: TF 8C 277/2007 del 2 aprile 2008</w:t>
      </w:r>
    </w:p>
    <w:p>
      <w:pPr>
        <w:pStyle w:val="Heading2"/>
      </w:pPr>
      <w:r>
        <w:t>Regeste</w:t>
      </w:r>
    </w:p>
    <w:p>
      <w:r>
        <w:t>Assurance-accidents | Assurance-accidents</w:t>
      </w:r>
    </w:p>
    <w:p>
      <w:pPr>
        <w:pStyle w:val="Heading2"/>
      </w:pPr>
      <w:r>
        <w:t>Erwägungen</w:t>
      </w:r>
    </w:p>
    <w:p>
      <w:r>
        <w:rPr>
          <w:b/>
        </w:rPr>
        <w:t>E. 1</w:t>
      </w:r>
    </w:p>
    <w:p>
      <w:r>
        <w:t>Comme en procédure cantonale, le litige porte sur la quotité de la rente d'invalidité de l'assurance-accidents à laquelle le recourant a droit.</w:t>
      </w:r>
    </w:p>
    <w:p>
      <w:r>
        <w:rPr>
          <w:b/>
        </w:rPr>
        <w:t>E. 2</w:t>
      </w:r>
    </w:p>
    <w:p>
      <w:r>
        <w:t>Le jugement entrepris expose de manière correcte les règles légales et les principes jurisprudentiels applicables en l'espèce, de sorte qu'il suffit d'y renvoyer.</w:t>
      </w:r>
    </w:p>
    <w:p>
      <w:r>
        <w:rPr>
          <w:b/>
        </w:rPr>
        <w:t>E. 3</w:t>
      </w:r>
    </w:p>
    <w:p>
      <w:r>
        <w:t>La juridiction cantonale a retenu qu'eu égard aux atteintes consécutives à l'accident, l'assuré ne pouvait plus exercer son ancienne profession de maçon. Elle a tenu pour établi, en revanche, qu'il disposait encore d'une pleine capacité de travail dans une activité légère adaptée (à prédominance assise, permettant d'alterner les positions et d'exécuter de petits déplacements) telle que celle décrite par les docteurs H.________ (rapport du 10 août 2004) et K.________ (rapport du 19 janvier 2006). Dans sa détermination, la juridiction cantonale a écarté les conclusions du docteur C.________, fixant à 50% l'incapacité de travail de l'assuré dans une activité adaptée, au double motif que cette appréciation constituait un avis isolé et que le médecin précité avait, de manière erronée, tenu compte des lombalgies préexistantes.</w:t>
      </w:r>
    </w:p>
    <w:p>
      <w:r>
        <w:rPr>
          <w:b/>
        </w:rPr>
        <w:t>E. 4</w:t>
      </w:r>
    </w:p>
    <w:p>
      <w:r>
        <w:t>Dans un premier argument, invoquant une violation de l' art. 36 al. 2 LAA , le recourant s'appuie sur le rapport du docteur C.________ pour soutenir que les lombalgies en cause n'avaient pas d'incidence sur la capacité de travail en qualité de maçon. Il en déduit que l'intimée doit supporter l'intégralité de l'incapacité de gain due aux douleurs sous-taliennes et aux lombalgies. Selon l' art. 36 al. 2 LAA ,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L' art. 36 LAA suppose que le facteur étranger à l'accident soit une affection secondaire à celui-ci. Il n'est pas applicable lorsque les deux facteurs ont causé des lésions sans corrélation entre elles. Cela implique que l'accident et l'événement non assuré aient causé ensemble un dommage ( ATF 126 V 116 consid. 3a p. 117, 121 V 326 consid. 3c p. 333; RAMA 2006 no U 570 p. 74 [arrêt U 357/04 du 22 septembre 2005 consid. 2.2]; arrêt U 79/03 du 18 décembre 2003 consid. 4.2). En l'espèce, rien n'indique que l'accident ait aggravé les lombalgies antérieures. Au demeurant, il est établi que, même compte tenu des lombalgies, l'assuré est en mesure d'exercer une activité légère à plein temps. Sur ce dernier point, l'avis du docteur C.________, qui retient une capacité de travail de 50%, est contredit par l'ensemble des autres avis du dossier, y compris par les appréciations des médecins qui se sont prononcés dans le cadre de l'AI (cf. rapport du 3 février 2003 du docteur L.________, médecin assistant à l'Hôpital Z.________ et rapport du 20 mai 2005 du docteur T.________ du SMR). Le moyen soulevé ne saurait donc être retenu.</w:t>
      </w:r>
    </w:p>
    <w:p>
      <w:r>
        <w:rPr>
          <w:b/>
        </w:rPr>
        <w:t>E. 5</w:t>
      </w:r>
    </w:p>
    <w:p>
      <w:r>
        <w:t>Dans un deuxième argument, le recourant fait grief à la juridiction cantonale d'avoir violé son droit à la preuve. Ce moyen n'est pas plus fondé que le précédent. Les pièces médicales versées au dossier permettaient à la juridiction cantonale de statuer en pleine connaissance de cause sur le présent litige, si bien que la mise en oeuvre d'une surexpertise s'avérait (et s'avère) superflue. Les premiers juges pouvaient s'en dispenser par appréciation anticipée des preuves (cf. ATF 130 II 425 consid. 2.1 p. 428 sv, 125 I 127 consid. 6c/cc p. 134 sv). Il s'ensuit que les constatations de la juridiction cantonale relatives à la capacité de travail du recourant eu égard aux atteintes à la santé de l'intéressé ne sont pas critiquables.</w:t>
      </w:r>
    </w:p>
    <w:p>
      <w:r>
        <w:rPr>
          <w:b/>
        </w:rPr>
        <w:t>E. 6</w:t>
      </w:r>
    </w:p>
    <w:p>
      <w:r>
        <w:t>Les premiers juges ont procédé à une comparaison du revenu que pourrait réaliser le recourant dans son ancienne profession, sans invalidité, avec celui qu'il pourrait obtenir dans une activité adaptée, telle que décrite par les docteurs H.________ et K.________, exercée à plein temps et plein rendement. Ils se sont fondés à juste titre, d'une part, sur les renseignements fournis par l'ancien employeur du recourant, et d'autre part, sur les données résultant de l'Enquête suisse sur la structure des salaires, publiées par l'Office fédéral de la statistique (cf. ATF 126 V 75 ). Le recourant ne soulève d'ailleurs aucun grief sur cet aspect du jugement entrepris. Cette comparaison de revenus corrobore le taux d'invalidité de 25% fixé par l'intimée en se référant à des descriptions de postes de travail dans des entreprises des régions vaudoise, genevoise et valaisanne.</w:t>
      </w:r>
    </w:p>
    <w:p>
      <w:r>
        <w:rPr>
          <w:b/>
        </w:rPr>
        <w:t>E. 7</w:t>
      </w:r>
    </w:p>
    <w:p>
      <w:r>
        <w:t>Il s'ensuit que le recours est mal fondé. Le recourant, qui succombe, doit supporter les frais judiciaires ( art. 66 al. 1 LTF ). Par ailleurs, pour le même motif, il n'a pas droit aux dépens qu'il prétend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