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8C_275/2016 vom 21. Oktober 2016</w:t>
      </w:r>
    </w:p>
    <w:p>
      <w:r>
        <w:t>Bundesgericht, 2016-10-21, FR</w:t>
      </w:r>
    </w:p>
    <w:p>
      <w:r>
        <w:rPr>
          <w:b/>
        </w:rPr>
        <w:t xml:space="preserve">Quelle: </w:t>
      </w:r>
      <w:r>
        <w:t>https://mcp.opencaselaw.ch/entscheid/bger_8C_275_2016</w:t>
      </w:r>
    </w:p>
    <w:p>
      <w:r>
        <w:t>FR: TF 8C_275/2016 du 21 octobre 2016</w:t>
      </w:r>
    </w:p>
    <w:p>
      <w:r>
        <w:t>IT: TF 8C_275/2016 del 21 ottobre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tant que recours en matière de droit public. Partant, en raison de son caractère subsidiaire, le recours constitutionnel n'est pas recevable ( art. 113 LTF ).</w:t>
      </w:r>
    </w:p>
    <w:p>
      <w:r>
        <w:rPr>
          <w:b/>
        </w:rPr>
        <w:t>E. 2</w:t>
      </w:r>
    </w:p>
    <w:p>
      <w:r>
        <w:t>Le litige porte sur le droit de l'assuré à la prise en charge de l'intégralité des frais d'hospitalisation au sein de l'établissement J.________ ainsi qu'à une rente entière d'invalidité - jusqu'à son décès - correspondant au 80 % du gain annuel assuré.</w:t>
      </w:r>
    </w:p>
    <w:p>
      <w:r>
        <w:rPr>
          <w:b/>
        </w:rPr>
        <w:t>E. 3</w:t>
      </w:r>
    </w:p>
    <w:p>
      <w:r>
        <w:t>Aux termes de l' art. 10 al. 1 LAA ,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w:t>
      </w:r>
    </w:p>
    <w:p>
      <w:r>
        <w:t>Le droit à de telles prestations cesse dès la naissance du droit à la rente (art. 19 al. 1, 2</w:t>
      </w:r>
    </w:p>
    <w:p>
      <w:r>
        <w:t>e phrase, LAA). Cette règle connaît toutefois quelques exceptions prévues à l' art. 21 LAA . Selon la let. d de cette disposition, lorsque la rente a été fixée, les prestations pour soins et remboursement de frais (art. 10 à 13 LAA) sont accordées à son bénéficiaire lorsqu'il présente une incapacité de gain et que des mesures médicales amélioreraient notablement son état de santé ou empêcheraient que celui-ci ne subisse une notable détérioration. On vise ici les assurés totalement invalides dont l'état de santé peut être amélioré ou tout au moins stabilisé grâce à des mesures médicales, même si cela reste sans influence sur leur capacité de gain. La prise en charge de telles mesures par l'assureur-accidents ne fait pas obstacle au maintien du droit de l'assuré à une indemnité pour impotence grave ( ATF 124 V 52 consid. 4 p. 57 et l'arrêt cité; arrêt 8C_332/2012 du 18 avril 2013 consid. 1).</w:t>
      </w:r>
    </w:p>
    <w:p>
      <w:r>
        <w:rPr>
          <w:b/>
        </w:rPr>
        <w:t>E. 4</w:t>
      </w:r>
    </w:p>
    <w:p>
      <w:r>
        <w:t>Se fondant sur la jurisprudence du Tribunal fédéral, principalement sur l' ATF 124 V 52 précité, la cour cantonale a considéré que l'intimée n'était pas tenue de prendre en charge les frais d'hébergement au sein de l'établissement J.________ ni les soins de type "nursering" au titre de l' art. 21 al. 1 let . d LAA.</w:t>
      </w:r>
    </w:p>
    <w:p>
      <w:r>
        <w:rPr>
          <w:b/>
        </w:rPr>
        <w:t>E. 5</w:t>
      </w:r>
    </w:p>
    <w:p>
      <w:r>
        <w:t>Les recourants invoquent une mauvaise application de la loi et une mauvaise interprétation de la jurisprudence par les premiers juges. En résumé, ils font valoir que la LAA ne connaît pas la notion d'établissement médico-social, de sorte que l'établissement J.________ doit être considéré comme un hôpital au sens de l' art. 68 OLAA (RS 832.202). En outre, au moment de la décision de l'intimée de ne plus prendre en charge l'entier des frais d'hospitalisation, l'assuré avait toujours besoin de soins médicaux, lesquels ne pouvaient être prodigués qu'en milieu hospitalier. A ce propos, les recourants estiment que l'ensemble des prestations dont l'assuré a bénéficié au sein de l'établissement J.________ entre dans la notion de traitement médical. Ils font valoir par ailleurs que la loi ne limite pas la durée d'une hospitalisation médicalement indiquée et ne prohibe pas une thésaurisation de prestations versées simultanément par diverses assurances sociales. L'intimée devrait donc prendre en charge l'entier des frais d'hospitalisation et supprimer le versement de l'allocation pour impotent pendant la durée de celle-ci. En ce qui concerne la jurisprudence, les recourants soutiennent que si l'on peut admettre la volonté du Tribunal fédéral d'empêcher qu'un assuré sans charge de famille soit logé, nourri et soigné aux frais de l'assurance-accidents et cumule simultanément d'autres prestations sociales, ce raisonnement ne saurait viser les cas où la rente de l'assureur-accidents est également utilisée pour subvenir aux besoins de la famille.</w:t>
      </w:r>
    </w:p>
    <w:p>
      <w:r>
        <w:rPr>
          <w:b/>
        </w:rPr>
        <w:t>E. 6.1</w:t>
      </w:r>
    </w:p>
    <w:p>
      <w:r>
        <w:t>En l'occurrence, l' ATF 124 V 52 - sur lequel s'est fondée la cour cantonale et dont les recourants invoquent la mauvaise interprétation - concernait un assuré tétraplégique à la suite d'un accident de la circulation et dont l'état de santé nécessitait une hospitalisation permanente. Le Tribunal fédéral a précisé que pour un assuré hospitalisé à demeure, la loi définissait de manière exhaustive l'étendue des prestations à la charge de l'assureur-accidents. Celui-ci avait droit à une rente d'invalidité ( art. 20 LAA ), une allocation pour impotent destinée à couvrir les frais résultant de l'aide d'autrui nécessaire pour accomplir les actes ordinaires de la vie ou d'une surveillance personnelle ( art. 26 al. 1 LAA ) et, enfin, la prise en charges des mesures médicales dont il a besoin au sens de l' art. 21 al. 1 let . d LAA. Dans cette cause, le Tribunal fédéral a estimé que la condamnation de l'assureur-accidents par la cour cantonale à payer les frais hospitaliers médicaux et les deux tiers des frais non médicaux n'était pas contraire au droit fédéral. Le devoir de prendre en charge les frais non médicaux reposait sur le fait qu'un tiers - coresponsable de l'accident - avait été condamné à rembourser à l'assureur-accidents les deux tiers des frais d'hospitalisation, et qu'en raison de la subrogation en faveur de l'assurance, l'assuré était empêché d'agir directement contre lui pour faire valoir ses prétentions. Cela étant, le tiers restant des frais non médicaux est demeuré à la charge de l'assuré. L'interprétation de la jurisprudence opérée par les premiers juges, en tant qu'ils considèrent que seuls les soins proprement médicaux et infirmiers peuvent être pris en charge aux conditions de l' art. 21 al. 1 let . d LAA, n'est donc pas critiquable (cf. U 233/98 du 19 avril 2000 consid. 2).</w:t>
      </w:r>
    </w:p>
    <w:p>
      <w:r>
        <w:rPr>
          <w:b/>
        </w:rPr>
        <w:t>E. 6.2</w:t>
      </w:r>
    </w:p>
    <w:p>
      <w:r>
        <w:t>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142 V 112 consid. 4.4 p. 117 et les arrêts cités). En l'occurrence, les conditions pour un changement de pratique, en particulier pour une meilleure connaissance de la ratio legis ne sont pas données. Les recourants ne prétendent pas le contraire. Au demeurant, il n'apparaît pas que les prestations versées à l'assuré ne permettaient pas de couvrir l'intégralité des frais d'hospitalisation. Les recourants ne le soutiennent pas d'ailleurs mais ils font valoir que les prestations allouées ne suffisaient pas à l'entretien du reste de la famille. A ce sujet, les juges cantonaux ont indiqué, à raison, que les charges familiales font l'objet d'autres prestations sociales, comme les rentes pour enfants de l'assurance-invalidité ( art. 35 LAI ) et de la prévoyance professionnelle ( art. 25 LPP ) et, si nécessaire, les prestations complémentaires (cf. art. 1a ss OPC-AVS/AI [RS 831.301]). Enfin, le refus de prendre en charge les frais d'hébergement était d'autant plus justifié que le placement de l'assuré à l'établissement J.________ ne saurait constituer en soi un traitement médical en établissement hospitalier au sens des art. 10 al. 1 let . c LAA et 68 OLAA (sur la notion d'établissement hospitalier voir UELI KIESER, ATSG-Kommentar, 3</w:t>
      </w:r>
    </w:p>
    <w:p>
      <w:r>
        <w:t>e éd. 2015, n° 10 s. p. 913 ad art. 67 LPGA et RUMO-JUNGO/HOLZER, Bundesgesetz über die Unfallversicherung, 4</w:t>
      </w:r>
    </w:p>
    <w:p>
      <w:r>
        <w:t>e éd. 2012, p. 238; cf. également HARDY LANDOLT, Unfallversicherungsrechtliche Pflegeentschädigung im Überblick, in Pflegerecht 4/2014, ch. III/C, p. 206 s.). Pour le reste, les recourants ne se plaignent pas de la répartition opérée par l'intimée entre soins médicaux et soins de base, et le fait que l'assuré fut, en raison de son état de santé, totalement dépendant de tiers et dut séjourner en institution n'implique nullement que la totalité des soins prodigués doivent être considérés comme des soins médicaux.</w:t>
      </w:r>
    </w:p>
    <w:p>
      <w:r>
        <w:rPr>
          <w:b/>
        </w:rPr>
        <w:t>E. 7</w:t>
      </w:r>
    </w:p>
    <w:p>
      <w:r>
        <w:t>Aux termes de l'art. 20 al. 2, première phrase, LAA, si l'assuré a droit à une rente de l'assurance-invalidité ou à une rente de l'assurance-vieillesse et survivants, une rente complémentaire lui est allouée; celle-ci correspond, en dérogation à l' art. 69 LPGA (RS 830.1), à la différence entre 90 % du gain assuré et la rente de l'assurance-invalidité ou de l'assurance-vieillesse et survivants, mais au plus au montant prévu pour l'invalidité totale ou partielle.</w:t>
      </w:r>
    </w:p>
    <w:p>
      <w:r>
        <w:t>L' art. 69 LPGA prohibe la surindemnisation en cas de concours de prestations des différentes assurances sociales.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 art. 69 al. 2 LPGA ). Ne sont prises en compte dans le calcul de la surindemnisation que des prestations de nature et de but identiques qui sont accordées à l'assuré en raison de l'événement dommageable ( art. 69 al. 1 LPGA ).</w:t>
      </w:r>
    </w:p>
    <w:p>
      <w:r>
        <w:rPr>
          <w:b/>
        </w:rPr>
        <w:t>E. 8.1</w:t>
      </w:r>
    </w:p>
    <w:p>
      <w:r>
        <w:t>Les recourants sont d'avis que la rente d'invalidité LAA devait continuer à s'élever à 80 % du gain assuré également après le 1</w:t>
      </w:r>
    </w:p>
    <w:p>
      <w:r>
        <w:t>er juillet 2014, lorsque l'assuré a commencé à percevoir une rente de l'assurance-invalidité. En résumé, ils soutiennent que l' art. 20 al. 2 LAA pose une simple règle de calcul pour fixer le montant maximum de la rente LAA quand elle vient s'ajouter à une autre rente. Selon eux, cette disposition ne concerne pas une question de surindemnisation, de sorte que l' art. 69 LPGA demeure applicable. A l'appui de leur argumentation, ils invoquent l'avis exprimé par GHÉLEW, RAMELET et RITTER dans leur Commentaire de la loi sur l'assurance-accidents (LAA), 1992, ainsi qu'une étude de NATHALIE KOHLER (Surindemnisation choquante dans la LAA en cas de salaire résiduel, RSAS 1987 p. 288 ss) approuvée par ces auteurs.</w:t>
      </w:r>
    </w:p>
    <w:p>
      <w:r>
        <w:rPr>
          <w:b/>
        </w:rPr>
        <w:t>E. 8.2</w:t>
      </w:r>
    </w:p>
    <w:p>
      <w:r>
        <w:t>Le grief est mal fondé. En effet, le Tribunal fédéral a exposé à multiples reprises que la réglementation sur la surindemnisation en matière de rentes complémentaires d'invalidité de l'assurance-accidents était réglée à l' art. 20 al. 2 LAA (cf. ATF 123 V 204 consid. 6b p. 210; 122 V 316 consid. 2a p. 317, 152 consid. 3c p. 155) et, qu'en tant que règle spéciale de coordination, cette disposition s'appliquait à l'exclusion de toute autre règle générale sur la surindemnisation ( ATF 115 V 275 consid. 1c p. 279 s. confirmé aux ATF 126 V 193 consid. 1 p. 193 s.; 121 V 137 consid. 1b p. 139, 130 consid. 2b p. 132). L'existence d'opinions divergentes dans la doctrine ne suffit pas pour s'écarter de cette jurisprudence constante, respectivement du texte clair de l' art. 20 al. 2 LAA (à propos de la doctrine citée par les recourants cf. ATF 121 V 137 précité consid. 3b et c p. 142 ss). Cela étant, c'est à bon droit que l'intimée a alloué à l'assuré une rente complémentaire correspondant à la différence entre 90 % du gain assuré et le montant de la rente AI.</w:t>
      </w:r>
    </w:p>
    <w:p>
      <w:r>
        <w:rPr>
          <w:b/>
        </w:rPr>
        <w:t>E. 9</w:t>
      </w:r>
    </w:p>
    <w:p>
      <w:r>
        <w:t>Vu ce qui précède, le recours se révèle mal fondé et doit être rejeté.</w:t>
      </w:r>
    </w:p>
    <w:p>
      <w:r>
        <w:rPr>
          <w:b/>
        </w:rPr>
        <w:t>E. 10</w:t>
      </w:r>
    </w:p>
    <w:p>
      <w:r>
        <w:t>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