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8C_274/2025 vom 12. Februar 2026</w:t>
      </w:r>
    </w:p>
    <w:p>
      <w:r>
        <w:t>Bundesgericht, 2026-02-12, DE</w:t>
      </w:r>
    </w:p>
    <w:p>
      <w:r>
        <w:rPr>
          <w:b/>
        </w:rPr>
        <w:t xml:space="preserve">Quelle: </w:t>
      </w:r>
      <w:r>
        <w:t>https://mcp.opencaselaw.ch/entscheid/bger_8C_274_2025</w:t>
      </w:r>
    </w:p>
    <w:p>
      <w:r>
        <w:t>FR: TF 8C_274/2025 du 12 février 2026</w:t>
      </w:r>
    </w:p>
    <w:p>
      <w:r>
        <w:t>IT: TF 8C_274/2025 del 12 febbraio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t>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Urteil 6B_410/2025 vom 24. September 2025; je mit Hinweisen).</w:t>
      </w:r>
    </w:p>
    <w:p>
      <w:r>
        <w:rPr>
          <w:b/>
        </w:rPr>
        <w:t>E. 2</w:t>
      </w:r>
    </w:p>
    <w:p>
      <w:r>
        <w:t>Streitig ist, ob die Vorinstanz Bundesrecht verletzte, indem sie die rentenablehnende Verfügung vom 22. März 2024 bestätigte. Zur Frage steht allein die Beurteilung der Arbeitsfähigkeit.</w:t>
      </w:r>
    </w:p>
    <w:p>
      <w:r>
        <w:rPr>
          <w:b/>
        </w:rPr>
        <w:t>E. 3</w:t>
      </w:r>
    </w:p>
    <w:p>
      <w:r>
        <w:t>Das kantonale Gericht hat die massgeblichen Rechtsgrundlagen insbesondere zum Begriff der Invalidität ( Art. 8 ATSG ) und zur Bemessung des Invaliditätsgrades gestützt auf einen Einkommensvergleich ( Art. 16 ATSG ) zutreffend dargelegt. Zu ergänzen ist, dass bei psychischen Leiden in jedem Einzelfall eine Beeinträchtigung der Erwerbsfähigkeit unabhängig von der diagnostischen Einordnung eines Leidens und grundsätzlich unbesehen der Ätiologie ausgewiesen und in ihrem Ausmass bestimmt sein muss. Entscheidend ist die Frage, ob es der versicherten Person zumutbar ist, eine Arbeitsleistung zu erbringen, was sich nach einem weitgehend objektivierten Massstab beurteilt. Die objektivierte Zumutbarkeitsbeurteilung fand in Art. 7 Abs. 2 ATSG ihren gesetzlichen Niederschlag ( BGE 143 V 409 E. 4.2.1 mit Hinweisen; ferner 143 V 418; 141 V 281 ).</w:t>
      </w:r>
    </w:p>
    <w:p>
      <w:r>
        <w:rPr>
          <w:b/>
        </w:rPr>
        <w:t>E. 4</w:t>
      </w:r>
    </w:p>
    <w:p>
      <w:r>
        <w:t>Gemäss Vorinstanz liegt gestützt auf die Angaben der psychiatrischen Gutachterin, insbesondere die ergänzende Stellungnahme vom 29. Dezember 2023, lediglich eine leichte Beeinträchtigung vor. Es sei daher von einer nahezu uneingeschränkten Arbeitsfähigkeit in einer leidensangepassten Tätigkeit auszugehen, was einen rentenbegründenden Invaliditätsgrad von mindestens 40 % von vornherein ausschliesse.</w:t>
      </w:r>
    </w:p>
    <w:p>
      <w:r>
        <w:t>Die Beschwerdeführerin macht sinngemäss im Wesentlichen geltend, das kantonale Gericht sei willkürlich von der Einschätzung der Arbeitsfähigkeit durch die Gutachterin selber abgewichen.</w:t>
      </w:r>
    </w:p>
    <w:p>
      <w:r>
        <w:rPr>
          <w:b/>
        </w:rPr>
        <w:t>E. 5</w:t>
      </w:r>
    </w:p>
    <w:p>
      <w:r>
        <w:t>Das kantonale Gericht stellte in seinem ersten (Rückweisungs-) Entscheid vom 4. Juli 2023 fest, das psychiatrische Gutachten - mit den Diagnosen einer leichten depressiven Episode (nach Teilremission einer mittelgradigen depressiven Episode), einer Dysthymia sowie einer kombinierten Persönlichkeitsstörung mit anankastischen und ängstlichen Zügen - sei hinsichtlich der Einschätzung der Arbeitsfähigkeit nur unzulänglich begründet. Die Gutachterin habe die Beeinträchtigungen anschaulich als eher leichtgradig beschrieben, was mit der bescheinigten Arbeitsunfähigkeit von 50 % kaum vereinbar sei. Es bedürfe diesbezüglich einer ergänzenden Stellungnahme. Diese wurde am 29. Dezember 2023 erstattet. Die Psychiaterin wiederholte darin gemäss Vorinstanz, dass sie bei der Begutachtung objektiv lediglich leichtgradig ausgeprägte Beeinträchtigungen habe feststellen können. Inwiefern das kantonale Gericht insoweit willkürliche Sachverhaltsfeststellungen getroffen haben sollte, vermag die Beschwerdeführerin nicht aufzuzeigen und lässt sich nicht ersehen. Gleiches gilt insoweit, als die Vorinstanz erkannte, die Gutachterin habe bloss prognostisch - unter Berücksichtigung der Komorbidität mit rezidivierender depressiver Störung und Dysthymie bei erhöhter psychischer und persönlichkeitsstruktureller Vulnerabilität - mit einer Verschlechterung des psychischen Gesundheitszustandes gerechnet. Eine Gefährdung der Gesundheit erwartete die Gutachterin ausdrücklich vorab für den Fall, dass die Beschwerdeführerin ihre angestammte Tätigkeit als selbstständigerwerbende Gastronomin wieder aufnehmen sollte.</w:t>
      </w:r>
    </w:p>
    <w:p>
      <w:r>
        <w:t>Nach Art. 6 ATSG ist bei der Beurteilung der Arbeitsfähigkeit jedoch nicht auf die verbleibende Leistungsfähigkeit im angestammten Beruf, sondern auf eine noch zumutbare Verweistätigkeit abzustellen. Zudem erkannte die Vorinstanz zutreffend, dass eine entsprechende Veränderung ausgewiesen sein müsste und im Rahmen einer Rentenrevision nach Art. 17 ATSG zu berücksichtigen wäre. Dass sie sich nicht auf die Beurteilung der Gutachterin einer lediglich 50 %igen Arbeitsfähigkeit auch für leidensangepasste Tätigkeiten mit der gleichen Begründung des erhöhten (blossen) Risikos eines erneuten Rezidivs stützte, sondern vielmehr auf deren Schilderung der Beeinträchtigung als objektiv lediglich leichtgradig ausgeprägt, lässt sich nicht beanstanden. Gleiches gilt insoweit, als sie bei diesem Ergebnis auf ein strukturiertes Beweisverfahren verzichtete. Es wird im Übrigen auch nicht geltend gemacht, dass die Beschwerdeführerin vor Erlass der hier streitigen Verfügung vom 22. März 2024, welcher Zeitpunkt für die richterliche Überprüfungsbefugnis massgeblich ist ( BGE 129 V 167 E. 1), wieder in den Erwerbsprozess eingestiegen wäre, die vom kantonalen Gericht als zumutbar erachtete Arbeitsfähigkeit aus medizinischen Gründen aber nicht habe verwerten können. Schliesslich wird auch nicht dargetan und bestehen angesichts der Angaben der Gutachterin keine Anhaltspunkte dafür, dass sich ab dem von der Beschwerdeführerin geltend gemachten Rentenbeginn am 1. Dezember 2021 bis zur Begutachtung im Herbst 2022 eine Änderung ergeben hätte, die eine rückwirkende befristete Rentenzusprechung begründet hätte. Dass die Vorinstanz im Rahmen der Beurteilung des Rentenanspruchs zu beachtende Bestimmungen verletzt haben sollte, ist nicht zu erkennen.</w:t>
      </w:r>
    </w:p>
    <w:p>
      <w:r>
        <w:rPr>
          <w:b/>
        </w:rPr>
        <w:t>E. 6</w:t>
      </w:r>
    </w:p>
    <w:p>
      <w:r>
        <w:t>Die Beschwerde erweist sich als offensichtlich unbegründet. Sie wird im vereinfachten Verfahren nach Art. 109 BGG mit summarischer Begründung und unter Verweis auf den vorinstanzlichen Entscheid erledigt.</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