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8C_272/2018 vom 14. Mai 2018</w:t>
      </w:r>
    </w:p>
    <w:p>
      <w:r>
        <w:t>Bundesgericht, 2018-05-14, DE</w:t>
      </w:r>
    </w:p>
    <w:p>
      <w:r>
        <w:rPr>
          <w:b/>
        </w:rPr>
        <w:t xml:space="preserve">Quelle: </w:t>
      </w:r>
      <w:r>
        <w:t>https://mcp.opencaselaw.ch/entscheid/bger_8C_272_2018</w:t>
      </w:r>
    </w:p>
    <w:p>
      <w:r>
        <w:t>FR: TF 8C_272/2018 du 14 mai 2018</w:t>
      </w:r>
    </w:p>
    <w:p>
      <w:r>
        <w:t>IT: TF 8C_272/2018 del 14 maggio 2018</w:t>
      </w:r>
    </w:p>
    <w:p>
      <w:pPr>
        <w:pStyle w:val="Heading2"/>
      </w:pPr>
      <w:r>
        <w:t>Volltext</w:t>
      </w:r>
    </w:p>
    <w:p>
      <w:r>
        <w:t>Bundesgericht</w:t>
      </w:r>
    </w:p>
    <w:p>
      <w:r>
        <w:t>Tribunal fédéral</w:t>
      </w:r>
    </w:p>
    <w:p>
      <w:r>
        <w:t>Tribunale federale</w:t>
      </w:r>
    </w:p>
    <w:p>
      <w:r>
        <w:t>Tribunal federal</w:t>
      </w:r>
    </w:p>
    <w:p>
      <w:r>
        <w:t>8C_272/2018</w:t>
      </w:r>
    </w:p>
    <w:p>
      <w:r>
        <w:t>Urteil vom 14. Mai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Schwyz vom 14. März 2018 (I 2017 109).</w:t>
      </w:r>
    </w:p>
    <w:p>
      <w:r>
        <w:t>Nach Einsicht</w:t>
      </w:r>
    </w:p>
    <w:p>
      <w:r>
        <w:t>in die Beschwerde vom 5. April 2018 (Poststempel) gegen den Entscheid des Verwaltungsgerichts des Kantons Schwyz vom 14. März 2018,</w:t>
      </w:r>
    </w:p>
    <w:p>
      <w:r>
        <w:t>in die Mitteilung des Bundesgerichts vom 6. April 2018 an A.________, worin auf die gesetzlichen Formerfordernisse von Beschwerden hinsichtlich Begehren und Begründung sowie auf die nur innert der Rechtsmittelfrist noch bestehende Verbesserungsmöglichkeit hingewiesen worden ist,</w:t>
      </w:r>
    </w:p>
    <w:p>
      <w:r>
        <w:t>in die daraufhin von A.________eingereichte Eingabe vom 10. April 2018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die im vorinstanzlichen Verfahren einzig noch umstrittene Integritätsentschädigung, basierend auf einer Integritätseinbusse von 5 % für die Beeinträchtigung am rechten Fuss (Ereignis vom 27. August 2003), bestätigte, nachdem es ausführlich dargelegt hatte, aus welchen Gründen die 40%ige Erwerbseinbusse, welche unstreitig Anspruch auf eine entsprechende Invalidenrente gibt, nicht mit der Höhe des Integritätsschadens gleichgesetzt werden könne,</w:t>
      </w:r>
    </w:p>
    <w:p>
      <w:r>
        <w:t>dass der Beschwerdeführer sich letztinstanzlich im Wesentlichen darauf beschränkt, das bereits vor Vorinstanz Vorgetragene zu wiederholen, ohne zugleich aufzuzeigen, inwiefern die Sachverhaltsfeststellungen im Sinne von Art. 97 Abs. 2 BGG - soweit überhaupt beanstandet - unrichtig bzw. unvollständig und die darauf basierenden Erwägungen rechtsfehlerhaft (vgl. Art. 95 BGG ) sein sollten,</w:t>
      </w:r>
    </w:p>
    <w:p>
      <w:r>
        <w:t>dass deshalb offensichtlich keine hinreichende Begründung vorliegt und mithin kein gültiges Rechtsmittel eingereicht worden ist,</w:t>
      </w:r>
    </w:p>
    <w:p>
      <w:r>
        <w:t>dass daran auch die Rüge nichts ändert, wonach die Integritätsentschädigung gemäss Art. 36 Abs. 3 UVV nach der gesamten Beeinträchtigung - also auch unter Berücksichtigung der Einschränkung am linken Fuss (Ereignis vom 7. November 2011) - festzusetzen sei, denn der Beschwerdeführer übersieht dabei, dass eine Integritätsentschädigung infolge des weiteren Unfalls vom 7. November 2011 für eine Beeinträchtigung am linken Fuss bereits in einem früheren Verfahren rechtskräftig abgelehnt worden war (Entscheid des Verwaltungsgerichts des Kantons Schwyz vom 18. November 2016, VGE I 2016 82),</w:t>
      </w:r>
    </w:p>
    <w:p>
      <w:r>
        <w:t>dass folglich im vereinfachten Verfahren nach Art. 108 Abs. 1 lit. b BGG auf die Beschwerde nicht einzutreten ist,</w:t>
      </w:r>
    </w:p>
    <w:p>
      <w:r>
        <w:t>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Gesundheit schriftlich mitgeteilt.</w:t>
      </w:r>
    </w:p>
    <w:p>
      <w:r>
        <w:t>Luzern, 14. Mai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