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8C_272/2015 vom 29. April 2015</w:t>
      </w:r>
    </w:p>
    <w:p>
      <w:r>
        <w:t>Bundesgericht, 2015-04-29, DE</w:t>
      </w:r>
    </w:p>
    <w:p>
      <w:r>
        <w:rPr>
          <w:b/>
        </w:rPr>
        <w:t xml:space="preserve">Quelle: </w:t>
      </w:r>
      <w:r>
        <w:t>https://mcp.opencaselaw.ch/entscheid/bger_8C_272_2015</w:t>
      </w:r>
    </w:p>
    <w:p>
      <w:r>
        <w:t>FR: TF 8C_272/2015 du 29 avril 2015</w:t>
      </w:r>
    </w:p>
    <w:p>
      <w:r>
        <w:t>IT: TF 8C_272/2015 del 29 aprile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8C_272/2015</w:t>
      </w:r>
    </w:p>
    <w:p>
      <w:r>
        <w:t>Urteil vom 29. April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13. Februar 2015.</w:t>
      </w:r>
    </w:p>
    <w:p>
      <w:r>
        <w:t>Nach Einsicht</w:t>
      </w:r>
    </w:p>
    <w:p>
      <w:r>
        <w:t>in die als Widerspruch bezeichnete Eingabe vom 22. April 2015 (Poststempel) gegen den gemäss postamtlicher Bescheinigung am 25. Februar 2015 an A.________ ausgehändigten Entscheid des Sozialversicherungsgerichts des Kantons Zürich vom 13. Februar 2015,</w:t>
      </w:r>
    </w:p>
    <w:p>
      <w:r>
        <w:t>in Erwägung,</w:t>
      </w:r>
    </w:p>
    <w:p>
      <w:r>
        <w:t>dass die als Beschwerde entgegen zu nehmende Eingabe nicht innert der nach Art. 100 Abs. 1 BGG 30-tägigen, gemäss Art. 44 - 48 BGG am 27. März 2015 abgelaufenen Rechtsmittelfrist eingereicht worden ist,</w:t>
      </w:r>
    </w:p>
    <w:p>
      <w:r>
        <w:t>dass darin entgegen der Rechtsmittelbelehrung auch keine inhaltliche Auseinandersetzung mit dem Entscheid des Sozialversicherungsgerichts stattfindet, weshalb sie offenkundig auch nicht den Minimalanforderungen nach Art. 42 Abs. 1 und 2 BGG an eine sachbezogene Begründung gerecht wird,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29. April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