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8C_271/2025 vom 30. Mai 2025</w:t>
      </w:r>
    </w:p>
    <w:p>
      <w:r>
        <w:t>Bundesgericht, 2025-05-30, DE</w:t>
      </w:r>
    </w:p>
    <w:p>
      <w:r>
        <w:rPr>
          <w:b/>
        </w:rPr>
        <w:t xml:space="preserve">Quelle: </w:t>
      </w:r>
      <w:r>
        <w:t>https://mcp.opencaselaw.ch/entscheid/bger_8C_271_2025</w:t>
      </w:r>
    </w:p>
    <w:p>
      <w:r>
        <w:t>FR: TF 8C_271/2025 du 30 mai 2025</w:t>
      </w:r>
    </w:p>
    <w:p>
      <w:r>
        <w:t>IT: TF 8C_271/2025 del 30 maggio 2025</w:t>
      </w:r>
    </w:p>
    <w:p>
      <w:pPr>
        <w:pStyle w:val="Heading2"/>
      </w:pPr>
      <w:r>
        <w:t>Erwägungen</w:t>
      </w:r>
    </w:p>
    <w:p>
      <w:r>
        <w:rPr>
          <w:b/>
        </w:rPr>
        <w:t>E. 1</w:t>
      </w:r>
    </w:p>
    <w:p>
      <w:r>
        <w:t>Nach Art. 95 BGG kann mit der Beschwerde nebst anderem die Verletzung von Bundesrecht gerügt werden (lit. a), zudem (abweichend von Art. 97 Abs. 1 BGG ) jede unrichtige oder unvollständige Feststellung des rechtserheblichen Sachverhalts, wenn sie sich gegen einen Entscheid über die Zusprechung oder Verweigerung von Geldleistungen der Militär- oder Unfallversicherung richtet ( Art. 97 Abs. 2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Das kantonale Gericht legte im angefochtenen Urteil vom 4. April 2025 in Auseinandersetzung mit den Parteivorbringen und in Würdigung der Akten dar, weshalb der Einspracheentscheid der Beschwerdegegnerin vom 6. August 2024, mit welchem eine über den 3. April 2024 hinausgehende Leistungspflicht für beim Beschwerdeführer vorhandene Gesundheitsschäden verneint wurde, rechtens sei. Diese stünden nicht (mehr) in einem natürlichen Kausalzusammenhang zum versicherten Unfall vom 23. November 2023.</w:t>
      </w:r>
    </w:p>
    <w:p>
      <w:r>
        <w:rPr>
          <w:b/>
        </w:rPr>
        <w:t>E. 3</w:t>
      </w:r>
    </w:p>
    <w:p>
      <w:r>
        <w:t>Der Beschwerdeführer zeigt nicht auf, inwieweit die von der Vorinstanz in diesem Zusammenhang getroffenen Sachverhaltsfeststellungen im Sinne von Art. 97 Abs. 2 BGG unrichtig sein und die darauf beruhenden Erwägungen gegen Bundesrecht verstossen oder einen anderen Beschwerdegrund (vgl. Art. 95 lit. a-e BGG ) gesetzt haben sollen. Insbesondere reicht es nicht aus, die von der Vorinstanz vorgenommene Beweiswürdigung der in den Akten gelegenen Arztberichte pauschal als willkürlich zu kritisieren, weil nicht seinen Ausführungen folgend, und unter Verweis auf den Untersuchungsgrundsatz weitere Abklärungen zu fordern, ohne auf das dazu Erwogene näher einzugehen.</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