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8C_271/2024 vom 11. Oktober 2024</w:t>
      </w:r>
    </w:p>
    <w:p>
      <w:r>
        <w:t>Bundesgericht, 2024-10-11, FR</w:t>
      </w:r>
    </w:p>
    <w:p>
      <w:r>
        <w:rPr>
          <w:b/>
        </w:rPr>
        <w:t xml:space="preserve">Quelle: </w:t>
      </w:r>
      <w:r>
        <w:t>https://mcp.opencaselaw.ch/entscheid/bger_8C_271_2024</w:t>
      </w:r>
    </w:p>
    <w:p>
      <w:r>
        <w:t>FR: TF 8C_271/2024 du 11 octobre 2024</w:t>
      </w:r>
    </w:p>
    <w:p>
      <w:r>
        <w:t>IT: TF 8C_271/2024 del 11 ottobre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3.1</w:t>
      </w:r>
    </w:p>
    <w:p>
      <w:r>
        <w:t>Le litige porte sur la question de savoir si le recourant peut prétendre à une rente d'invalidité d'un taux supérieur à 25 %, singulièrement sur le revenu d'invalide de 65'281 fr. retenu par la cour cantonale sur la base des revenus statistiques ressortant de l'ESS. Le recourant ne conteste ni le revenu sans invalidité (de 87'075 fr.) ni le taux de l'IPAI déterminés par l'intimée.</w:t>
      </w:r>
    </w:p>
    <w:p>
      <w:r>
        <w:rPr>
          <w:b/>
        </w:rPr>
        <w:t>E. 3.2</w:t>
      </w:r>
    </w:p>
    <w:p>
      <w:r>
        <w:t>S'agissant d'une procédure concernant l'octroi ou le refus d'une prestation en espèces de l'assurance-accidents, le Tribunal fédéral n'est pas lié par les faits établis par la juridiction cantonale ( art. 105 al. 3 LTF ).</w:t>
      </w:r>
    </w:p>
    <w:p>
      <w:r>
        <w:rPr>
          <w:b/>
        </w:rPr>
        <w:t>E. 4.1</w:t>
      </w:r>
    </w:p>
    <w:p>
      <w:r>
        <w:t>Si l'assuré est invalide ( art. 8 LPGA ) à 10 % au moins par suite d'un accident, il a droit à une rente d'invalidité ( art. 18 al. 1 LAA ). Est réputée invalidité l'incapacité de gain totale ou partielle qui est présumée permanente ou de longue durée ( art. 8 al. 1 LPGA ). Aux termes de l' art. 7 al. 1 LPGA ,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 art. 7 al. 2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 ATF 139 V 592 consid. 2.3; 135 V 297 consid. 5.2).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419 consid. 5.2;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5.1</w:t>
      </w:r>
    </w:p>
    <w:p>
      <w:r>
        <w:t>La cour cantonale a considéré que le recourant avait repris son activité habituelle à un taux de 60 %. Toutefois, il ressortait des appréciations des doctoresses E.________ et F.________, dont la valeur probante n'était pas contesté par le recourant, que ce dernier était à même d'exercer une activité à plein temps et rendement à condition de respecter certaines limitations fonctionnelles. Dès lors, en travaillant à un taux de 60 %, il ne mettait pas pleinement en valeur sa capacité résiduelle de travail. L'intimé avait ainsi à juste titre déterminé le revenu avec invalidité en se référant aux données issues de l'ESS. Par ailleurs, l'intimée ne lui avait donné aucune assurance que le taux d'invalidité serait calculé sur la base du revenu réalisé après l'atteinte à la santé auprès de B.________ SA. Au contraire, elle lui avait indiqué à plusieurs reprises qu'une activité adaptée à plein temps et avec un plein rendement était exigible de sa part et qu'elle n'indemniserait peut-être pas une perte de 35 % qui résulterait d'un engagement à 65 % auprès de B.________ SA.</w:t>
      </w:r>
    </w:p>
    <w:p>
      <w:r>
        <w:rPr>
          <w:b/>
        </w:rPr>
        <w:t>E. 5.2</w:t>
      </w:r>
    </w:p>
    <w:p>
      <w:r>
        <w:t>Dans la procédure devant le Tribunal fédéral, le recourant fait valoir pour la première fois que sa capacité résiduelle de travail serait en réalité uniquement de 75 %; au surplus, selon l'avis de la doctoresse F.________, il aurait besoin de pauses régulières dans son emploi (au minimum quatre par jour) afin de soigner son moignon. Le recourant soutient par ailleurs, en substance, que les premiers juges auraient violé le droit fédéral parce qu'ils n'auraient pas pris en considération qu'il était âgé de 59 ans au moment de la naissance du droit à la rente le 1er octobre 2021, qu'il était employé de l'entreprise B.________ SA depuis 1989, soit plus de 30 ans au jour de l'accident et qu'il ne disposait pas de qualification particulière, outre le CFC de ramoneur. Or, si elle avait tenu compte de ces aspects, la cour cantonale aurait du constater qu'il lui était impossible de trouver une autre place que celle à 60 % auprès de son ancien employeur, en raison de son état physique et de la réalité du marché du travail. La reprise de son poste à un taux réduit aurait ainsi été la seule et unique solution concrète qui se serait proposée à lui. À titre subsidiaire, le recourant soutient qu'un abattement de 25 % devrait être admis, notamment en raison de ses limitations fonctionnelles, de son âge et du fait qu'il avait été employé plus de 30 ans par le même employeur, si l'évaluation du revenu avec invalidité sur la base des valeurs statistiques était confirmée.</w:t>
      </w:r>
    </w:p>
    <w:p>
      <w:r>
        <w:rPr>
          <w:b/>
        </w:rPr>
        <w:t>E. 6.1</w:t>
      </w:r>
    </w:p>
    <w:p>
      <w:r>
        <w:t>Le recourant ne motive pas son allégation relative à la capacité de travail limitée à 75 %, qui est d'ailleurs un fait nouveau inadmissible en procédure fédérale ( art. 99 al. 1 LTF ). Il est vrai que la doctoresse F.________ a admis le besoin de pauses régulières, ce qui pourrait justifier l'admission d'une diminution de rendement de l'ordre de 10 %. La question peut toutefois être laissée ouverte au regard de ce qui suit.</w:t>
      </w:r>
    </w:p>
    <w:p>
      <w:r>
        <w:rPr>
          <w:b/>
        </w:rPr>
        <w:t>E. 6.2</w:t>
      </w:r>
    </w:p>
    <w:p>
      <w:r>
        <w:t>Le recourant soutient que, durant toute la procédure administrative, l'intimée n'aurait proposé aucune autre démarche de réinsertion que celle chez son ancien employeur. Il serait donc contraire à la bonne foi de lui reprocher indirectement cette réinsertion, en lui imposant un autre emploi. À ce propos, il sied de rappeler que la réadaptation professionnelle incombe en principe aux organes de l'assurance-invalidité (cf. art. 19 al. 1 LAA et art. 15 ss LAI ). En l'espèce, l'OAI a constaté, dans le rapport du 3 novembre 2021 concernant la réadaptation ainsi que dans son projet de décision du 8 novembre 2021, qu'un droit théorique à un reclassement ( art. 17 LAI ) existait, dès lors que l'activité exercée auparavant n'était plus réalisable à 100 %; toutefois, les conditions subjectives du droit à cette mesure n'étaient pas réalisées, parce que le recourant souhaitait conserver son activité habituelle adaptée à 60 %. Le grief soulevé par le recourant est ainsi infondé. La cour cantonale a en outre exposé à juste titre que le principe général de l'obligation de diminuer le dommage valable en droit des assurances sociales, ancré notamment à l' art. 21 al. 4 LPGA , exige de l'assuré de mettre en oeuvre tout ce qu'on peut raisonnablement attendre de lui pour atténuer les conséquences de son accident ( ATF 134 V 109 consid. 10.2.7; 129 V 460 consid. 4.2).</w:t>
      </w:r>
    </w:p>
    <w:p>
      <w:r>
        <w:rPr>
          <w:b/>
        </w:rPr>
        <w:t>E. 6.3.1</w:t>
      </w:r>
    </w:p>
    <w:p>
      <w:r>
        <w:t>Il ressort des constatations de l'arrêt attaqué et des protocoles d'entretien cités que le recourant ne peut pas reprendre l'activité qu'il avait exercé auprès de B.________ SA avant l'accident à cause des limitations fonctionnelles qu'il présente. L'employeur a fait un effort pour lui attribuer des travaux qui sont adaptées à ces limitations et qu'il est encore en mesure d'accomplir. Cependant, l'employeur a souligné qu'il n'a pas la possibilité de regrouper certaines activités pour en faire une occupation à 100 % en raison de l'organisation du travail et qu'il ne pourra pas toujours assurer une occupation durable de 65 à 70 %. Finalement, il a engagé le recourant dès le 1er octobre 2021 à un taux de 60 %. Ce taux d'occupation est ainsi dû principalement à l'impossibilité pour l'employeur d'offrir au recourant un taux d'activité supérieur.</w:t>
      </w:r>
    </w:p>
    <w:p>
      <w:r>
        <w:rPr>
          <w:b/>
        </w:rPr>
        <w:t>E. 6.3.2</w:t>
      </w:r>
    </w:p>
    <w:p>
      <w:r>
        <w:t>Si une augmentation du taux d'occupation n'est pas possible selon les indications de l'employeur, le revenu correspondant à la capacité de travail résiduelle (dépassant le taux d'activité effectivement mis en oeuvre), peut être déterminé, selon la jurisprudence, en fonction des donnés statistiques, pour autant qu'une telle possibilité de gain puisse être réalistement envisagée au regard du marché du travail équilibré (arrêts 9C_140/2017 du 18 août 2017 consid. 5.4; 8C_7/2014 du 10 juillet 2014 consid. 7 et 8, in SVR 2014 IV n° 37 p. 130; MARGIT MOSER-SZELESS, in Commentaire romand, Loi sur la partie générale des assurances sociales, 2018, n° 30 ad art. 16 LPGA ).</w:t>
      </w:r>
    </w:p>
    <w:p>
      <w:r>
        <w:rPr>
          <w:b/>
        </w:rPr>
        <w:t>E. 6.3.3</w:t>
      </w:r>
    </w:p>
    <w:p>
      <w:r>
        <w:t>En l'espèce l'employeur n'a pas pu proposer un taux d'occupation supérieur à 60 %. Le maintien de cet emploi est par ailleurs justifié au vu des circonstances. En ce qui concerne le salaire exact dès le 1er octobre 2021, il ne figure pas au dossier, mais le recourant admet que sa perte de gain, s'il travaille à 60 % exclusivement pour B.________ SA, est de 40 %. On peut ainsi partir du principe que son revenu effectif se situe à 60 % du salaire de 87'075 fr. qu'il gagnait avant l'accident, soit autour de 52'245 fr. Compte tenu de l'éventail d'emplois diversifiés disponibles sur le marche équilibré du travail, la nature et l'importance des troubles présentés par le recourant ne constituent pas des obstacles irrémédiables à la reprise d'une activité professionnelle à 40 %.</w:t>
      </w:r>
    </w:p>
    <w:p>
      <w:r>
        <w:rPr>
          <w:b/>
        </w:rPr>
        <w:t>E. 6.3.4</w:t>
      </w:r>
    </w:p>
    <w:p>
      <w:r>
        <w:t>Par conséquent, il sied de déterminer le revenu d'invalidité sur la base du salaire que réalise le recourant pour son activité de 60 % auprès de B.________ SA et d'y ajouter un salaire hypothétique, qui est pris en compte à raison de 40 %. Ce dernier se détermine sur la base de l'ESS 2018 (tableau TA1_tirage_skill_level, total homme, niveau de compétence 1, en tenant compte de l'horaire normal de travail de la branche économique et de l'évolution des salaires nominaux, soit 68'761 fr. 80, selon le calcul de l'intimée qui n'est pas remis en question par le recourant). Pour une activité à 40 %, il correspond à un montant de 27'504 fr. 70. Même en prenant en considération, par hypothèse, un abattement maximal de 25 %, le revenu à prendre en considération (20'628 fr. 50), additionné à celui réalisé auprès de B.________ SA (52'245 fr.), exclurait un taux d'invalidité supérieur à celui constaté par l'intimée. Il n'en va pas différemment en prenant en considération une diminution de rendement de 10 % pour tenir compte de la nécessité de faire des pauses. Il s'ensuit que le recours est mal fondé.</w:t>
      </w:r>
    </w:p>
    <w:p>
      <w:r>
        <w:rPr>
          <w:b/>
        </w:rPr>
        <w:t>E. 7</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