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271/2017 vom 10. Mai 2017</w:t>
      </w:r>
    </w:p>
    <w:p>
      <w:r>
        <w:t>Bundesgericht, 2017-05-10, FR</w:t>
      </w:r>
    </w:p>
    <w:p>
      <w:r>
        <w:rPr>
          <w:b/>
        </w:rPr>
        <w:t xml:space="preserve">Quelle: </w:t>
      </w:r>
      <w:r>
        <w:t>https://mcp.opencaselaw.ch/entscheid/bger_8C_271_2017</w:t>
      </w:r>
    </w:p>
    <w:p>
      <w:r>
        <w:t>FR: TF 8C 271/2017 du 10 mai 2017</w:t>
      </w:r>
    </w:p>
    <w:p>
      <w:r>
        <w:t>IT: TF 8C 271/2017 del 10 maggio 2017</w:t>
      </w:r>
    </w:p>
    <w:p>
      <w:pPr>
        <w:pStyle w:val="Heading2"/>
      </w:pPr>
      <w:r>
        <w:t>Regeste</w:t>
      </w:r>
    </w:p>
    <w:p>
      <w:r>
        <w:t>Assurance-chômage (condition de recevabilité; décision incidente; préjudice irréparable) | Assurance-chômage</w:t>
      </w:r>
    </w:p>
    <w:p>
      <w:pPr>
        <w:pStyle w:val="Heading2"/>
      </w:pPr>
      <w:r>
        <w:t>Erwägungen</w:t>
      </w:r>
    </w:p>
    <w:p>
      <w:r>
        <w:rPr>
          <w:b/>
        </w:rPr>
        <w:t>E. 1.1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1.2</w:t>
      </w:r>
    </w:p>
    <w:p>
      <w:r>
        <w:t>En tant qu'il renvoie la cause à la caisse pour nouvelle décision, le jugement attaqué est une décision incidente au sens de l' art. 93 LTF . Aussi, le recours n'est-il admissible qu'aux conditions posées à l' art. 93 al. 1 let. a et b LTF .</w:t>
      </w:r>
    </w:p>
    <w:p>
      <w:r>
        <w:rPr>
          <w:b/>
        </w:rPr>
        <w:t>E. 2.1</w:t>
      </w:r>
    </w:p>
    <w:p>
      <w:r>
        <w:t>Il appartient notamment à la partie recourante d'alléguer et d'établir la possibilité qu'une décision incidente lui cause un dommage irréparable ( ATF 138 III 46 consid. 1.2 p. 47 et les références), à moins que celui-ci ne fasse d'emblée aucun doute (arrêts 8C_871/2013 du 20 décembre 2013 consid. 1.2; 8C_780/2011 du 4 décembre 2012 consid. 1.2.1). Selon la jurisprudence, un préjudice ne peut être qualifié d'irréparable que s'il cause un dommage de nature juridique qui ne peut pas être réparé ultérieurement par un jugement final ou une autre décision favorable au recourant ( ATF 140 V 321 consid. 3.6 p. 326).</w:t>
      </w:r>
    </w:p>
    <w:p>
      <w:r>
        <w:rPr>
          <w:b/>
        </w:rPr>
        <w:t>E. 2.2</w:t>
      </w:r>
    </w:p>
    <w:p>
      <w:r>
        <w:t>En bref, les juges cantonaux ont constaté que le décompte récapitulatif des versements établi par la société C.________ SA pour l'année 2011 ne concordait pas avec les montants inscrits dans le compte individuel AVS du recourant, qu'il n'était pas clair si ce dernier avait bénéficié d'éventuelles rétrocessions et qu'il existait plusieurs erreurs dans la manière dont la caisse avait déterminé les gains intermédiaires bruts de l'assuré. Ils ont donc considéré qu'il n'était pas possible, en l'état, de statuer sur l'étendue de la créance en restitution et qu'un complément d'instruction était encore nécessaire.</w:t>
      </w:r>
    </w:p>
    <w:p>
      <w:r>
        <w:rPr>
          <w:b/>
        </w:rPr>
        <w:t>E. 2.3</w:t>
      </w:r>
    </w:p>
    <w:p>
      <w:r>
        <w:t>En l'espèce, le recourant n'allègue aucun préjudice irréparable dans son recours et on ne voit pas non plus en quoi cette condition de recevabilité du recours serait d'emblée réalisée. Par ailleurs, on peut nier que le renvoi prononcé par la cour cantonale entraînerait une procédure probatoire longue et coûteuse.</w:t>
      </w:r>
    </w:p>
    <w:p>
      <w:r>
        <w:rPr>
          <w:b/>
        </w:rPr>
        <w:t>E. 3</w:t>
      </w:r>
    </w:p>
    <w:p>
      <w:r>
        <w:t>Vu ce qui précède, les conditions pour recourir contre le jugement incident de la cour cantonale ne sont pas réalisées. Le recours est ainsi manifestement irrecevable ( art. 108 al. 1 let. a LTF ) et doit être traité selon la procédure simplifiée de l' art. 108 LTF , sans qu'il y ait lieu d'ordonner un échange d'écritures. Il y a lieu, par ailleurs, de renoncer exceptionnellement à percevoir des frais judiciaires ( art. 66 al. 1, seconde phrase,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