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8C_271/2015 vom 29. April 2015</w:t>
      </w:r>
    </w:p>
    <w:p>
      <w:r>
        <w:t>Bundesgericht, 2015-04-29, DE</w:t>
      </w:r>
    </w:p>
    <w:p>
      <w:r>
        <w:rPr>
          <w:b/>
        </w:rPr>
        <w:t xml:space="preserve">Quelle: </w:t>
      </w:r>
      <w:r>
        <w:t>https://mcp.opencaselaw.ch/entscheid/bger_8C_271_2015</w:t>
      </w:r>
    </w:p>
    <w:p>
      <w:r>
        <w:t>FR: TF 8C_271/2015 du 29 avril 2015</w:t>
      </w:r>
    </w:p>
    <w:p>
      <w:r>
        <w:t>IT: TF 8C_271/2015 del 29 aprile 2015</w:t>
      </w:r>
    </w:p>
    <w:p>
      <w:pPr>
        <w:pStyle w:val="Heading2"/>
      </w:pPr>
      <w:r>
        <w:t>Volltext</w:t>
      </w:r>
    </w:p>
    <w:p>
      <w:r>
        <w:t>Bundesgericht</w:t>
      </w:r>
    </w:p>
    <w:p>
      <w:r>
        <w:t>Tribunal fédéral</w:t>
      </w:r>
    </w:p>
    <w:p>
      <w:r>
        <w:t>Tribunale federale</w:t>
      </w:r>
    </w:p>
    <w:p>
      <w:r>
        <w:t>Tribunal federal</w:t>
      </w:r>
    </w:p>
    <w:p>
      <w:r>
        <w:t>8C_271/2015 {T 0/2}</w:t>
      </w:r>
    </w:p>
    <w:p>
      <w:r>
        <w:t>Urteil vom 29. April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9. März 2015.</w:t>
      </w:r>
    </w:p>
    <w:p>
      <w:r>
        <w:t>Nach Einsicht</w:t>
      </w:r>
    </w:p>
    <w:p>
      <w:r>
        <w:t>in die Beschwerde vom 24. April 2015 (Poststempel) gegen den Entscheid des Sozialversicherungsgerichts des Kantons Zürich vom 9. März 2015, mit welcher die Verfügung der IV-Stelle des Kantons Zürich vom 16. September 2014 aufgehoben und die Sache zu weiterer Abklärung und anschliessendem Erlass einer neuen Verfügung an diese zurückgewiesen wurde,</w:t>
      </w:r>
    </w:p>
    <w:p>
      <w:r>
        <w:t>in Erwägung,</w:t>
      </w:r>
    </w:p>
    <w:p>
      <w:r>
        <w:t>dass es sich beim angefochtenen Entscheid um einen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beschwerdeführende Partei im Einzelnen darzutun hat, inwiefern die Eintretensvoraussetzungen gemäss Art. 93 BGG erfüllt sind, ansonsten auf die Beschwerde mangels hinreichender Begründung nicht einzutreten ist ( BGE 137 III 324 E. 1.1 S. 329 mit Hinweisen),</w:t>
      </w:r>
    </w:p>
    <w:p>
      <w:r>
        <w:t>dass der Beschwerdeführer seiner diesbezüglichen Begründungspflicht nicht einmal im Ansatz nachkommt,</w:t>
      </w:r>
    </w:p>
    <w:p>
      <w:r>
        <w:t>dass überdies auch nicht erkennbar ist, inwiefern eine der beiden Tatbestandsvoraussetzungen gemäss Art. 93 Abs. 1 BGG erfüllt sein könnte,</w:t>
      </w:r>
    </w:p>
    <w:p>
      <w:r>
        <w:t>dass nämlich ein Nachteil im Sinne von lit. a dieser Bestimmung erst irreparabel ist, wenn er nicht später mit einem günstigen Endurteil in der Sache behoben werden könnte ( BGE 137 III 522 E. 1.3 S. 525 mit Hinweisen),</w:t>
      </w:r>
    </w:p>
    <w:p>
      <w:r>
        <w:t>dass sich darüber hinaus weder aus dem angefochtenen Entscheid noch der Natur der Sache Hinweise für einen bedeutenden Aufwand an Zeit oder Kosten für ein weitläufiges Beweisverfahren vor einem späteren Entscheid in der Sache gemäss lit. b der Bestimmung ergeben,</w:t>
      </w:r>
    </w:p>
    <w:p>
      <w:r>
        <w:t>dass deshalb im vereinfachten Verfahren nach Art. 108 Abs. 1 lit. a und b BGG auf die Beschwerde nicht einzutreten ist,</w:t>
      </w:r>
    </w:p>
    <w:p>
      <w:r>
        <w:t>dass in Anwendung von Art. 66 Abs. 1 BGG auf die Erhebung von Gerichtskosten verzichtet wird, womit sich das mit Beschwerdeerhebung gestellte Gesuch um unentgeltliche Prozessführung als gegenstandslos erweist,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29. April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