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8C_270/2023 vom 24. Mai 2023</w:t>
      </w:r>
    </w:p>
    <w:p>
      <w:r>
        <w:t>Bundesgericht, 2023-05-24, DE</w:t>
      </w:r>
    </w:p>
    <w:p>
      <w:r>
        <w:rPr>
          <w:b/>
        </w:rPr>
        <w:t xml:space="preserve">Quelle: </w:t>
      </w:r>
      <w:r>
        <w:t>https://mcp.opencaselaw.ch/entscheid/bger_8C_270_2023</w:t>
      </w:r>
    </w:p>
    <w:p>
      <w:r>
        <w:t>FR: TF 8C_270/2023 du 24 mai 2023</w:t>
      </w:r>
    </w:p>
    <w:p>
      <w:r>
        <w:t>IT: TF 8C_270/2023 del 24 maggio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6. März 2023 in Auseinandersetzung mit den Parteivorbringen und in Würdigung der Akten ausführlich dar, weshalb die Beschwerdegegnerin mit Verfügung vom 18. März 2020 das von der Pensionsversicherungsanstalt, Landesstelle Salzburg, am 15. März 2019 übermittelte Leistungsbegehren ablehnen durfte. Es wurde auch darauf hingewiesen, dass eine allfällige Veränderung des Gesundheitszustands seit der streitigen Verfügung vom 18. März 2020 nicht Gegenstand des vorliegenden Verfahrens sei.</w:t>
      </w:r>
    </w:p>
    <w:p>
      <w:r>
        <w:rPr>
          <w:b/>
        </w:rPr>
        <w:t>E. 3</w:t>
      </w:r>
    </w:p>
    <w:p>
      <w:r>
        <w:t>Die Beschwerdeführerin befasst sich nicht zureichend mit den für das Ergebnis des angefochtenen Urteils massgeblichen Erwägungen, indem sie weder rügt noch aufzeigt, inwiefern diese in tatsächlicher Hinsicht im Sinne von Art. 97 Abs. 1 BGG offensichtlich unrichtig, d.h. unhaltbar oder willkürlich sein ( BGE 146 IV 88 E. 1.3.1 mit Hinweisen) oder auf einer Rechtsverletzung gemäss Art. 95 BGG beruhen sollten. Allein den Gesundheitszustand zu schildern und dabei einen am 24. Februar 2023 erfolgten Spitaleintritt hervorzuheben,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der Beschwerdeschrift eingereichte Gesuch um Gerichtskostenbefreiung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