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269/2011 vom 18. Oktober 2011</w:t>
      </w:r>
    </w:p>
    <w:p>
      <w:r>
        <w:t>Bundesgericht, 2011-10-18, DE</w:t>
      </w:r>
    </w:p>
    <w:p>
      <w:r>
        <w:rPr>
          <w:b/>
        </w:rPr>
        <w:t xml:space="preserve">Quelle: </w:t>
      </w:r>
      <w:r>
        <w:t>https://mcp.opencaselaw.ch/entscheid/bger_8C_269_2011</w:t>
      </w:r>
    </w:p>
    <w:p>
      <w:r>
        <w:t>FR: TF 8C 269/2011 du 18 octobre 2011</w:t>
      </w:r>
    </w:p>
    <w:p>
      <w:r>
        <w:t>IT: TF 8C 269/2011 del 18 ottobre 2011</w:t>
      </w:r>
    </w:p>
    <w:p>
      <w:pPr>
        <w:pStyle w:val="Heading2"/>
      </w:pPr>
      <w:r>
        <w:t>Regeste</w:t>
      </w:r>
    </w:p>
    <w:p>
      <w:r>
        <w:t>Rechtsgleichheit, Gleichstellung von Mann und Frau | Grundrecht</w:t>
      </w:r>
    </w:p>
    <w:p>
      <w:pPr>
        <w:pStyle w:val="Heading2"/>
      </w:pPr>
      <w:r>
        <w:t>Erwägungen</w:t>
      </w:r>
    </w:p>
    <w:p>
      <w:r>
        <w:rPr>
          <w:b/>
        </w:rPr>
        <w:t>E. 1</w:t>
      </w:r>
    </w:p>
    <w:p>
      <w:r>
        <w:t>Angefochten ist ein Endentscheid einer letzten kantonalen Instanz ( Art. 86 Abs. 1 lit. d, Art. 90 BGG ). Dieser verneint eine Lohnnachzahlungspflicht des Arbeitgebers im Rahmen eines öffentlich-rechtlichen Anstellungsverhältnisses und betrifft somit eine öffentlich-rechtliche Angelegenheit im Sinn von Art. 82 lit. a BGG . In vermögensrechtlichen Angelegenheiten ist gemäss Art. 85 Abs. 1 lit. b BGG die Beschwerde auf dem Gebiet der öffentlich-rechtlichen Arbeitsverhältnisse unzulässig, wenn der Streitwert weniger als Fr. 15'000.- beträgt. Erreicht der Streitwert den massgebenden Betrag nicht, so ist in Anwendung von Art. 85 Abs. 2 BGG die Beschwerde dennoch zulässig, wenn sich eine Rechtsfrage von grundsätzlicher Bedeutung stellt. Gemäss unbestrittener vorinstanzlicher Feststellung beträgt der Streitwert weniger als Fr. 15'000.-. Die Beschwerdeführerin macht jedoch geltend, die Frage, ob eine Verbandsklage im Sinne von Art. 7 des Bundesgesetzes vom 24. März 1995 über die Gleichstellung von Frau und Mann (Gleichstellungsgesetz, GlG; SR 151.1) den Lauf der Verjährungsfrist der individuellen Lohnansprüche unterbricht, sei grundsätzlicher Natur. Ob dies zutrifft, kann offenbleiben, da die Beschwerde - wie nachstehende Erwägungen zeigen - ohnehin abzuweisen ist.</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w:t>
      </w:r>
    </w:p>
    <w:p>
      <w:r>
        <w:t>Die Beschwerdegegnerin hat den auf das Gleichstellungsgesetz gestützten Lohnnachzahlungsanspruch der Beschwerdeführerin grundsätzlich anerkannt. Streitig und zu prüfen ist einzig, ob die Verjährungsfrist für diesen Nachzahlungsanspruch bereits mit dem Anheben der Verbandsklage im Sinne von Art. 7 GlG , oder erst mit der von der Beschwerdeführerin eingeleiteten Betreibung unterbrochen wurde.</w:t>
      </w:r>
    </w:p>
    <w:p>
      <w:r>
        <w:rPr>
          <w:b/>
        </w:rPr>
        <w:t>E. 4.1</w:t>
      </w:r>
    </w:p>
    <w:p>
      <w:r>
        <w:t>Gemäss bundesgerichtlicher Rechtsprechung handelt es sich beim Anspruch auf einen diskriminierungsfreien Lohn um ein bundesrechtliches Individualrecht, auf welches mangels Spezialregelung im GlG die fünfjährige Verjährungsfrist gemäss Art. 128 Ziff. 3 OR anwendbar ist. Dies gilt sowohl für privatrechtliche als auch für öffentlich-rechtliche Arbeitsverhältnisse (vgl. BGE 131 I 105 E. 3.3 S. 108). Die Vorinstanz hat erwogen, diese Frist könne grundsätzlich unterbrochen werden, allerdings komme dem Anheben einer Verbandsklage im Sinne von Art. 7 GlG in Bezug auf die individuellen Forderungen keine entsprechende Wirkung zu. Eine solche Verbandsklage entfalte grundsätzlich nur Wirkung zwischen den Parteien; zu einer Verjährungsunterbrechung müsste die Klage vom Gläubiger oder einem bevollmächtigten Vertreter, nicht aber von einem beliebigen Dritten erhoben werden (vgl. BGE 111 II 358 E. 4a S. 364; bestätigt in BGE 4A_576/2010 E. 3.1.1). Im Gleichstellungsgesetz finde sich keine Spezialregelung, welche von diesem Grundsatz abweichen würde. Die Beschwerdeführerin macht demgegenüber geltend, das Gleichstellungsgesetz sei diesbezüglich lückenhaft; diese Lücke sei in analoger Anwendung von Art. 15 Abs. 2 des Bundesgesetzes vom 17. Juni 2005 über Massnahmen zur Bekämpfung der Schwarzarbeit (BGSA, SR 822.41) zu füllen.</w:t>
      </w:r>
    </w:p>
    <w:p>
      <w:r>
        <w:rPr>
          <w:b/>
        </w:rPr>
        <w:t>E. 4.2</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135 III 385 E. 2.1 S. 386; 135 V 279 E. 5.1 S. 284).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als massgeblich erachteten Wortsinn der Norm stelle einen Rechtsmissbrauch dar ( BGE 136 III 96 E. 3.3 S. 99 f.).</w:t>
      </w:r>
    </w:p>
    <w:p>
      <w:r>
        <w:rPr>
          <w:b/>
        </w:rPr>
        <w:t>E. 4.3</w:t>
      </w:r>
    </w:p>
    <w:p>
      <w:r>
        <w:t>Die vom kantonalen Gericht vertretene Auslegung, wonach mangels einer Spezialregelung im Gleichstellungsgesetz die Anhebung einer Verbandsklage im Sinne von Art. 7 GlG die Verjährungsfristen der individuellen Lohnansprüche nicht unterbricht, entspricht den Stellungnahmen in der Lehre (Elisabeth Freivogel, in: Claudia Kaufmann/ Sabine Steiger-Sackmann [Hrsg.], Kommentar zum Gleichstellungsgesetz, 2. Aufl. 2009, Rz. 35 zu Art. 7 GlG ; Christian Bruchez, in: Gabriel Aubert/Karine Lempen [Hrsg.], Commentaire de la loi fédérale sur l'égalité, 2011, Rz. 31 zu Art. 7 GlG ). Entgegen den Ausführungen der Beschwerdeführerin drängt sich keine analoge Anwendung von Art. 15 Abs. 2 BGSA auf. Zwar wären die einzelnen Arbeitnehmenden zweifellos besser gestellt, wenn auch das Gleichstellungsgesetz eine entsprechende Regelung kennen würde. Die Verbandsklage im Sinne von Art. 7 GlG wird aber auch dann nicht ihres Sinnes beraubt, wenn man deren Anhebung nicht als Unterbrechungsgrund für die individuellen Ansprüche der Arbeitnehmerinnen und Arbeitnehmer anerkennt. Das Fehlen einer solchen Regelung stellt demnach keine echte Lücke dar, welche vom Gericht geschlossen werden könnte. Es ist vielmehr von einem qualifizierten Schweigen des Gesetzgebers auszugehen. Wie die Vorinstanz zudem zutreffend ausgeführt hat, hätte die Beschwerdeführerin leicht und ohne sich sehr zu exponieren eine Unterbrechung der Verjährung erwirken können (vgl. auch BGE 133 V 579 E. 4.3.1 S. 583 mit zahlreichen weiteren Hinweisen); anzufügen bleibt, dass sie dies unbestrittenermassen am 19. Mai 2003 auch getan hat.</w:t>
      </w:r>
    </w:p>
    <w:p>
      <w:r>
        <w:rPr>
          <w:b/>
        </w:rPr>
        <w:t>E. 4.4</w:t>
      </w:r>
    </w:p>
    <w:p>
      <w:r>
        <w:t>Führte die Anhebung der Verbandsklage im Sinne von Art. 7 GlG nicht zu einer Unterbrechung der Verjährung für den Nachzahlungsanspruch der Beschwerdeführerin, so besteht der kantonale Gerichtsentscheid zu Recht; ihre Beschwerde ist somit abzuweisen.</w:t>
      </w:r>
    </w:p>
    <w:p>
      <w:r>
        <w:rPr>
          <w:b/>
        </w:rPr>
        <w:t>E. 5</w:t>
      </w:r>
    </w:p>
    <w:p>
      <w:r>
        <w:t>Dem Ausgang des Verfahrens entsprechend sind die Gerichtskosten der Beschwerdeführerin aufzuerlegen ( Art. 66 Abs. 1 BGG ). Die in ihrem amtlichen Wirkungskreis obsiegende Beschwerdegegnerin hat keinen Anspruch auf Parteientschädigung ( Art. 68 Abs. 3 BGG , Urteil 8C_151/2010 vom 31. August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