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8C_268/2015 vom 6. August 2015</w:t>
      </w:r>
    </w:p>
    <w:p>
      <w:r>
        <w:t>Bundesgericht, 2015-08-06, FR</w:t>
      </w:r>
    </w:p>
    <w:p>
      <w:r>
        <w:rPr>
          <w:b/>
        </w:rPr>
        <w:t xml:space="preserve">Quelle: </w:t>
      </w:r>
      <w:r>
        <w:t>https://mcp.opencaselaw.ch/entscheid/bger_8C_268_2015</w:t>
      </w:r>
    </w:p>
    <w:p>
      <w:r>
        <w:t>FR: TF 8C_268/2015 du 6 août 2015</w:t>
      </w:r>
    </w:p>
    <w:p>
      <w:r>
        <w:t>IT: TF 8C_268/2015 del 6 agosto 2015</w:t>
      </w:r>
    </w:p>
    <w:p>
      <w:pPr>
        <w:pStyle w:val="Heading2"/>
      </w:pPr>
      <w:r>
        <w:t>Erwägungen</w:t>
      </w:r>
    </w:p>
    <w:p>
      <w:r>
        <w:rPr>
          <w:b/>
        </w:rPr>
        <w:t>E. 1</w:t>
      </w:r>
    </w:p>
    <w:p>
      <w:r>
        <w:t>Aux termes de l' art. 100 al. 1 LTF , le recours contre une décision doit être déposé devant le Tribunal fédéral dans les 30 jours qui suivent la notification de l'expédition complète. Les délais dont le début dépend d'une communication courent dès le lendemain de celle-ci ( art. 44 al. 1 LTF ). En outre, si le dernier jour du délai est un samedi, un dimanche ou un jour férié selon le droit fédéral ou cantonal, le délai expire le premier jour ouvrable qui suit ( art. 45 al. 1 LTF ).</w:t>
      </w:r>
    </w:p>
    <w:p>
      <w:r>
        <w:t>En l'espèce, le jugement cantonal a été notifié à la recourante le 27 mars 2015, de sorte que le délai de recours a expiré le 11 mai 2015, compte tenu des féries judiciaires ( art. 46 al. 1 let. a LTF ). A l'appui de son acte de recours daté du 23 avril 2015, la recourante a déposé deux écritures complémentaires les 4 mai et 6 juillet 2015. Il s'ensuit que seule l'écriture du 4 mai a été déposée en temps utile, tandis que celle datée du 6 juillet, transmise après l'expiration du délai de recours, est tardive et, partant, irrecevable.</w:t>
      </w:r>
    </w:p>
    <w:p>
      <w:r>
        <w:t>Pour le surplus, le recours est dirigé contre un arrêt final ( art. 90 LTF ) rendu en matière de droit public ( art. 82 let. a LTF ) par une autorité cantonale de dernière instance ( art. 86 al. 1 let . d LTF), sans que l'on se trouve dans l'un des cas d'exception mentionnés à l' art. 83 LTF . La voie du recours en matière de droit public est donc ouverte en l'espèce.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La violation peut consister en un état de fait incomplet, car l'autorité précédente viole le droit matériel en n'établissant pas tous les faits pertinents pour l'application de celui-ci. Il appartient au recourant de démontrer le caractère arbitraire par une argumentation répondant aux exigences de l' art. 42 al. 2 LTF , respectivement de l' art. 106 al. 2 LTF ( ATF 137 I 58 consid. 4.1.2 p. 62 et la référence).</w:t>
      </w:r>
    </w:p>
    <w:p>
      <w:r>
        <w:rPr>
          <w:b/>
        </w:rPr>
        <w:t>E. 3</w:t>
      </w:r>
    </w:p>
    <w:p>
      <w:r>
        <w:t>Le litige porte sur la suspension du droit à l'indemnité de chômage, prononcée par décision sur opposition du 11 janvier 2013, pour chômage imputable à une faute de l'assurée ( art. 30 al. 1 let. a LACI [RS 837.0]).</w:t>
      </w:r>
    </w:p>
    <w:p>
      <w:r>
        <w:rPr>
          <w:b/>
        </w:rPr>
        <w:t>E. 4.1</w:t>
      </w:r>
    </w:p>
    <w:p>
      <w:r>
        <w:t>Aux termes de l' art. 30 al. 1 let. a LACI ,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 art. 44 al. 1 let. a OACI [RS 837.02]).</w:t>
      </w:r>
    </w:p>
    <w:p>
      <w:r>
        <w:rPr>
          <w:b/>
        </w:rPr>
        <w:t>E. 4.2</w:t>
      </w:r>
    </w:p>
    <w:p>
      <w:r>
        <w:t>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 ATF 112 V 242 consid. 1 p. 245; arrêt 8C_370/2014 11 juin 2015 consid. 2.2; THOMAS NUSSBAUMER, in Schweizerisches Bundesverwaltungsrecht [SBVR], Arbeitslosenversicherung, vol. XIV, 2</w:t>
      </w:r>
    </w:p>
    <w:p>
      <w:r>
        <w:t>e éd. 2007, p. 2427 n. 831).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w:t>
      </w:r>
    </w:p>
    <w:p>
      <w:r>
        <w:rPr>
          <w:b/>
        </w:rPr>
        <w:t>E. 5</w:t>
      </w:r>
    </w:p>
    <w:p>
      <w:r>
        <w:t>En l'espèce, la juridiction cantonale a constaté qu'au mois d'avril 2011, une importante mésentente avait surgi entre la recourante et sa supérieure hiérarchique, nécessitant l'intervention du conseiller municipal en charge du département. Non seulement la recourante avait délibérément fait part de ce conflit à tous ses collègues, mais elle avait également exprimé son refus catégorique de participer à une quelconque séance en présence du conseiller municipal et de sa supérieure. Même si son état de santé ne lui a pas permis d'être suffisamment disponible pour entamer une discussion, le conseiller municipal a en vain et expressément requis de s'entretenir avec elle, si nécessaire à huis clos. En outre, l'autorité précédente a relevé que l'employée avait à maintes reprises déclaré vouloir quitter son emploi en raison de la détérioration des relations professionnelles avec sa supérieure, de sorte qu'elle n'estimait plus nécessaire de rétablir le dialogue. Aussi bien les premiers juges ont-ils considéré qu'en refusant tout dialogue avec son employeur et en raison de l'absence d'évolution favorable suite à l'avertissement, la recourante ne s'était pas conformée à ses obligations contractuelles, et que la sanction prononcée se justifiait, conformément à l' art. 30 al. 1 let. a LACI en lien avec l' art. 44 al. 1 let. a OACI .</w:t>
      </w:r>
    </w:p>
    <w:p>
      <w:r>
        <w:rPr>
          <w:b/>
        </w:rPr>
        <w:t>E. 6.1</w:t>
      </w:r>
    </w:p>
    <w:p>
      <w:r>
        <w:t>La recourante se plaint de l'état de fait retenu par la cour cantonale, qu'elle juge erroné, incomplet et arbitraire. Les premiers juges auraient méconnu le contexte professionnel dans lequel elle évoluait, à savoir des dysfonctionnements et des problèmes graves au sein du département. Ils auraient aussi passé sous silence la dégradation de son état de santé, pourtant liée, selon elle, à son travail et à un mobbing professionnel. En outre, l'assurée revient sur les circonstances du conflit qui l'a opposée à son ancienne supérieure hiérarchique, ainsi que sur les raisons qui l'ont poussée à en informer ses collègues et à vouloir quitter son emploi. En conclusion, elle soutient qu'elle n'a pas violé ses obligations contractuelles ni donné un motif de résiliation à son employeur. Au contraire, c'est la Ville de V.________ qui aurait violé ses obligations, décrites à l'art. 6 de la loi du 13 mars 1964 sur le travail (LTr; RS 822.11) et dans l'ordonnance 3 du 18 août 1993 relative à la loi sur le travail (OLT 3; RS 822.113).</w:t>
      </w:r>
    </w:p>
    <w:p>
      <w:r>
        <w:rPr>
          <w:b/>
        </w:rPr>
        <w:t>E. 6.2</w:t>
      </w:r>
    </w:p>
    <w:p>
      <w:r>
        <w:t>Ce faisant, et tout au long de ses écritures, la recourante expose sa propre version des faits et discute librement ceux constatés par l'autorité précédente. Un tel procédé est inadmissible devant le Tribunal fédéral. En effet, il ne suffit pas de déclarer un état de fait arbitraire pour permettre une critique appellatoire de l'arrêt attaqué ( ATF 133 I 49 consid. 1.4.3 p. 255; 130 III 136 consid. 1.4 p. 140). En outre, les premiers juges n'ont pas méconnu le contexte professionnel dans lequel la recourante a travaillé, en particulier la surcharge générale de travail à laquelle le département devait faire face (cf. consid. 3b du jugement attaqué). On ajoutera, au demeurant, que les allégations de mobbing et de violation des devoirs d'employeur par la Ville de V.________ ne sont pas étayées et ne reposent sur aucun élément de preuve concret. Le grief est donc mal fondé et il n'y a pas de motif de s'écarter des constatations de l'autorité précédente. Partant, la juridiction cantonale était fondée à considérer que la recourante était responsable de son chômage et à confirmer la décision de suspension du droit à l'indemnité.</w:t>
      </w:r>
    </w:p>
    <w:p>
      <w:r>
        <w:rPr>
          <w:b/>
        </w:rPr>
        <w:t>E. 7</w:t>
      </w:r>
    </w:p>
    <w:p>
      <w:r>
        <w:t>Vu ce qui précède, le jugement attaqué n'est pas critiquable et le recours se révèle mal fondé, dans la mesure de sa recevabilité.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