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268/2008 vom 16. Februar 2009</w:t>
      </w:r>
    </w:p>
    <w:p>
      <w:r>
        <w:t>Bundesgericht, 2009-02-16, FR</w:t>
      </w:r>
    </w:p>
    <w:p>
      <w:r>
        <w:rPr>
          <w:b/>
        </w:rPr>
        <w:t xml:space="preserve">Quelle: </w:t>
      </w:r>
      <w:r>
        <w:t>https://mcp.opencaselaw.ch/entscheid/bger_8C_268_2008</w:t>
      </w:r>
    </w:p>
    <w:p>
      <w:r>
        <w:t>FR: TF 8C 268/2008 du 16 février 2009</w:t>
      </w:r>
    </w:p>
    <w:p>
      <w:r>
        <w:t>IT: TF 8C 268/2008 del 16 febbraio 2009</w:t>
      </w:r>
    </w:p>
    <w:p>
      <w:pPr>
        <w:pStyle w:val="Heading2"/>
      </w:pPr>
      <w:r>
        <w:t>Regeste</w:t>
      </w:r>
    </w:p>
    <w:p>
      <w:r>
        <w:t>Assurance-accidents | Assurance-accidents</w:t>
      </w:r>
    </w:p>
    <w:p>
      <w:pPr>
        <w:pStyle w:val="Heading2"/>
      </w:pPr>
      <w:r>
        <w:t>Erwägungen</w:t>
      </w:r>
    </w:p>
    <w:p>
      <w:r>
        <w:rPr>
          <w:b/>
        </w:rPr>
        <w:t>E. 1.1</w:t>
      </w:r>
    </w:p>
    <w:p>
      <w:r>
        <w:t>Le litige porte sur le point de savoir si l'intimée était fondée, par sa décision sur opposition du 6 juin 2006, à supprimer le droit du recourant aux prestations de l'assurance-accidents à partir du 1er mai précédent.</w:t>
      </w:r>
    </w:p>
    <w:p>
      <w:r>
        <w:rPr>
          <w:b/>
        </w:rPr>
        <w:t>E. 1.2</w:t>
      </w:r>
    </w:p>
    <w:p>
      <w:r>
        <w:t>Dans la procédure de recours concernant l'octroi ou le refus de prestations en espèces de l'assurance-accidents, le Tribunal fédéral n'est pas lié par l'état de fait constaté par la juridiction précédente ( art. 97 al. 2 LTF ).</w:t>
      </w:r>
    </w:p>
    <w:p>
      <w:r>
        <w:rPr>
          <w:b/>
        </w:rPr>
        <w:t>E. 2.1</w:t>
      </w:r>
    </w:p>
    <w:p>
      <w:r>
        <w:t>Selon l' art. 6 al. 1 LAA , les prestations d'assurance sont allouées en cas d'accident professionnel, d'accident non professionnel et de maladie professionnelle.</w:t>
      </w:r>
    </w:p>
    <w:p>
      <w:r>
        <w:rPr>
          <w:b/>
        </w:rPr>
        <w:t>E. 2.2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rPr>
          <w:b/>
        </w:rPr>
        <w:t>E. 2.3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2.4</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Il en va, en revanche,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«coup du lapin» à la colonne cervicale ( ATF 117 V 359 consid. 6a p. 367), d'un traumatisme analogue à la colonne cervicale (SVR 1995 UV n° 23 p. 67 consid. 2) ou d'un traumatisme cranio-cérébral ( ATF 117 V 369 consid. 4b p. 383), on peut renoncer à distinguer les éléments physiques des éléments psychiques (sur l'ensemble de la question, cf. ATF 127 V 102 consid. 5b/bb p. 103 et SVR 2007 UV n° 8 p. 27, consid. 2 ss, U 277/04, et les références).</w:t>
      </w:r>
    </w:p>
    <w:p>
      <w:r>
        <w:rPr>
          <w:b/>
        </w:rPr>
        <w:t>E. 3</w:t>
      </w:r>
    </w:p>
    <w:p>
      <w:r>
        <w:t>A l'instar de la CNA, les premiers juges ont retenu qu'à la date de la décision litigieuse, B.________ ne présentait plus aucun trouble somatique en relation avec l'événement accidentel assuré. En particulier, l'instruction médicale n'avait pas permis de mettre en évidence de lésion organique à l'origine de ses troubles visuels, ceux-ci devant être mis sur le compte d'un traumatisme psychique. Ensuite, laissant ouverte la question du lien de causalité naturelle de ce traumatisme, ils ont jugé qu'il n'y avait de toute façon pas de lien de causalité adéquate. En effet, aucun des critères déterminants consacrés par la jurisprudence en matière de troubles psychiques consécutifs à un accident de gravité moyenne - telle que l'agression commise sur l'assuré - ne se trouvait réuni. En particulier, même si cette agression s'était révélée assez brutale, elle n'avait pas revêtu une intensité particulière en ce sens que l'assuré aurait pu craindre pour sa vie. Il n'en était pas non plus résulté des lésions physiques graves. Le recourant s'oppose à cette manière de voir.</w:t>
      </w:r>
    </w:p>
    <w:p>
      <w:r>
        <w:rPr>
          <w:b/>
        </w:rPr>
        <w:t>E. 4.1</w:t>
      </w:r>
    </w:p>
    <w:p>
      <w:r>
        <w:t>Les médecins s'accordent à dire que l'agression dont B.________ a été victime a probablement occasionné un traumatisme crânien et une contusion oculaire. Dans les jours qui ont suivi cet événement, le prénommé a constaté une diminution progressive de sa fonction visuelle (vision trouble permanente de près comme de loin), ce qui constitue aujourd'hui son atteinte principale à la santé. Secondairement, il se plaint de céphalées, de troubles de la mémoire, de troubles de l'équilibre, d'acouphènes et de vertiges. D'un point de vue strictement ophtalmologique, le docteur U.________, qui l'a examiné à la demande de la CNA, n'a trouvé aucune cause due à la maladie ou à une lésion traumatique pouvant expliquer cette situation, et n'a retenu en conséquence aucun diagnostic précis. Il a fait état d'une certaine discordance dans les résultats selon les tests effectués et exprimé l'opinion que le trouble visuel n'avait pas un caractère définitif (rapport d'expertise du 30 septembre 2005). Ces constatations ont amené le médecin ophtalmologiste de la CNA, le docteur L.________, à conclure que l'état des yeux de l'assuré était sans doute normal, hormis une hypermétropie sans lien avec l'accident et une presbytie due à l'âge (appréciation du 18 novembre 2005). Dans un second temps, ce médecin a néanmoins soulevé la question de savoir si une contusion cérébrale était éventuellement de nature à entraîner un atrophie du cortex comme celle découverte chez l'assuré en 2002 auquel cas la causalité devrait être réexaminée (appréciation du 19 juin 2007). La CNA a invité le docteur K.________, neurologue et psychiatre de sa division de médecine, à se prononcer sur ce point. Dans son rapport du 12 septembre 2007, on apprend que l'assuré a été soumis, dans le cadre d'une demande de prestations de l'assurance-invalidité, à une expertise pluridisciplinaire au Centre W.________ qui comprenait un volet rhumatologique, ophtalmologique, neurologique, neuropsychologique et psychiatrique. Cette expertise ne figure pas au dossier. Selon le résumé que le docteur K.________ en a fait, l'examen neurologique réalisé par le professeur S.________ de l'Hôpital Y.________ aurait conduit cet expert à poser le diagnostic d'un trouble organique perturbant l'attention visuelle de l'assuré et à considérer les modifications cérébrales révélées par l'examen IRM comme des séquelles de l'accident. Le médecin de la CNA a cependant rejeté cette hypothèse au motif notamment que l'assuré n'aurait subi qu'un traumatisme crânien mineur de catégorie 2 dont les conséquences s'estompent en règle générale après quelques semaines.</w:t>
      </w:r>
    </w:p>
    <w:p>
      <w:r>
        <w:rPr>
          <w:b/>
        </w:rPr>
        <w:t>E. 4.2</w:t>
      </w:r>
    </w:p>
    <w:p>
      <w:r>
        <w:t>Les considérations médicales qui précèdent montrent que contrairement à ce que retiennent l'intimée et l'autorité cantonale, il subsiste de nombreuses zones d'ombre quant aux causes et à l'étendue de la perte fonctionnelle des yeux dont souffre l'assuré. En l'état, il n'est pas possible d'admettre ou d'exclure au degré de la vraisemblance prépondérante que l'agression ait entraîné une atteinte physique dont les effets ont conduit à une altération de la vue. On ne saurait s'en tenir à l'avis exprimé par le docteur K.________ de la CNA à cet égard sans connaître les éléments déterminants qui ont amené son confrère spécialiste, le professeur S.________, à prendre des conclusions opposées. L'expertise de l'Hôpital Y.________ faite en 2004 ne suffit pas non plus à lever cette incertitude puisqu'elle ne se prononce pas clairement sur l'atrophie cérébrale. La même retenue s'impose en ce qui concerne la conclusion d'une origine psychique du trouble visuel de l'assuré laquelle a été posée par défaut, en l'absence d'un diagnostic somatique, et sans examen personnel de l'intéressé par un psychiatre. Or, une telle évolution - au caractère pour le moins inhabituel - devrait être étayée par une explication médicale circonstanciée sur les mécanismes psychiques susceptibles de mener une personne, dont il est établi qu'elle ne présentait pas de problèmes de vue particuliers avant un accident, à développer après coup et sans substrat physique évident un état comparable à celui d'une perte de la fonction visuelle. En définitive, il faut constater que les divers examens spécialisés ordonnés séparément par l'intimée ont laissé des questions médicales ouvertes - en particulier l'existence éventuelle, au moment de la suppression du droit aux prestations d'assurance, d'un déficit fonctionnel organique (en relation ou non avec le traumatisme crânien) et/ou d'une affection psychiatrique susceptible(s) d'expliquer les symptômes de l'assuré, ainsi que l'origine de ces affections - auxquelles il n'appartient pas au juge de répondre à la place du médecin et qui doivent être élucidées pour permettre l'examen du rapport de causalité (voir consid. 2 supra). Vu la complexité du cas, une approche pluridisciplinaire intégrant une discussion de synthèse entre les divers experts consultés qui auront accès à l'ensemble du dossier médical de l'assuré (y compris de l'assurance-invalidité) s'avère donc nécessaire. Par conséquent, la cause sera renvoyée à la juridiction cantonale pour qu'elle complète l'instruction au sens des considérants et rende un nouveau jugement. Dans cette mesure, le recours est bien fondé.</w:t>
      </w:r>
    </w:p>
    <w:p>
      <w:r>
        <w:rPr>
          <w:b/>
        </w:rPr>
        <w:t>E. 5</w:t>
      </w:r>
    </w:p>
    <w:p>
      <w:r>
        <w:t>Dès lors que le recourant obtient gain de cause, les frais et les dépens de la présente instance seront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