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8C_267/2025 vom 8. September 2025</w:t>
      </w:r>
    </w:p>
    <w:p>
      <w:r>
        <w:t>Bundesgericht, 2025-09-08, DE</w:t>
      </w:r>
    </w:p>
    <w:p>
      <w:r>
        <w:rPr>
          <w:b/>
        </w:rPr>
        <w:t xml:space="preserve">Quelle: </w:t>
      </w:r>
      <w:r>
        <w:t>https://mcp.opencaselaw.ch/entscheid/bger_8C_267_2025</w:t>
      </w:r>
    </w:p>
    <w:p>
      <w:r>
        <w:t>FR: TF 8C_267/2025 du 8 septembre 2025</w:t>
      </w:r>
    </w:p>
    <w:p>
      <w:r>
        <w:t>IT: TF 8C_267/2025 del 8 settembre 2025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 Laut Art. 42 Abs. 2 BGG ist in der Begründung der Beschwerde in gedrängter Form darzulegen, inwiefern der angefochtene Akt Recht verletzt. Auf die Erwägungen, die für das Ergebnis des angefochtenen Entscheids massgeblich sind, ist gezielt und sachbezogen einzugehen. Dabei ist aufzuzeigen, aus welchem Grund die Vorinstanz im Einzelnen Bundesrecht verletzt haben soll (Urteil 9C_396/2025 vom 24. Juli 2025 E. 2).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Anspruch des Beschwerdeführers auf Taggelder für den Zeitraum vom 22. Juni 2016 und 20. Juni 2019 sowie einen Anspruch auf Invalidenrente und Integritätsentschädigung verneinte.</w:t>
      </w:r>
    </w:p>
    <w:p>
      <w:r>
        <w:rPr>
          <w:b/>
        </w:rPr>
        <w:t>E. 3</w:t>
      </w:r>
    </w:p>
    <w:p>
      <w:r>
        <w:t>Die Vorinstanz legte die hier noch interessierenden Bestimmungen und die diesbezügliche Rechtsprechung zutreffend dar. Darauf wird verwiesen ( Art. 109 Abs. 3 BGG ).</w:t>
      </w:r>
    </w:p>
    <w:p>
      <w:r>
        <w:rPr>
          <w:b/>
        </w:rPr>
        <w:t>E. 4</w:t>
      </w:r>
    </w:p>
    <w:p>
      <w:r>
        <w:t>Gestützt auf die überzeugende Sachverhaltsfeststellung der Vorinstanz - auf die ebenfalls verwiesen werden kann - ist erstellt, dass der Unfall keine unmittelbare Schädigung des Nervensystems verursachte. Bei der Materialentfernung rund sechs Monat später wurde sodann zwar ein rein sensorischer Endast eines peripheren Nervs im rechten Fuss entfernt. Dies stellt eine minimale, indirekt unfallkausale Schädigung dar. Weitere Leiden wie die Polyneuropathie an beiden Füssen oder die Senk-Spreiz-Füsse sind hingegen nicht auf den Unfall zurückzuführen. Der medizinische Endzustand war am 8. Juni 2016 erreicht. Die angestammte Tätigkeit als LKW-Chauffeur ist seither unfallbedingt nicht mehr zumutbar, da sie mit gehenden und stehenden Arbeiten sowie dem Beladen verbunden ist. Leichte bis mittelschwere, wechselbelastende Tätigkeiten ohne wiederholtes Treppensteigen oder Gehen in unebenem Gelände sind hingegen uneingeschränkt möglich. Die gegenteilige Einschätzung des Beschwerdeführers findet in den medizinischen Akten keine Stütze. Bereits im Austrittsbericht der Klinik C.________ wurde dokumentiert, dass er bewusst Übungen zur Leistungssteigerung vermied, durchwegs fraglich motiviert wirkte, primär an Informationen zur Invalidenversicherung und zu möglichen finanziellen Leistungen interessiert war und klar äusserte, sich eine Arbeitstätigkeit nicht mehr vorstellen zu können, sondern sich nach Ferien und Reisen zu sehnen. Zwar führte der Unfall im Verlauf später zu einer leichten Arthrose im oberen Sprunggelenk, die am 14. Oktober 2019 operativ behandelt wurde. Am Zumutbarkeitsprofil änderte dies jedoch nichts. Rechtlich folgerte die Vorinstanz zutreffend, dass die Suva die Taggeldleistungen mit Erreichen der vollen Arbeitsfähigkeit im Juni 2016 einstellen und erst im Zusammenhang mit dem Rückfall im Jahr 2019 vorübergehend wieder aufnehmen durfte. Für die Ermittlung des Rentenanspruchs sind bei beiden Vergleichseinkommen dieselben statistischen Werte der Lohnstrukturherhebung (LSE; Tabelle TA1_tirage_skill_level, Männer, Total, Kompetenzniveau 4) des Bundesamts für Statistik heranzuziehen, da der Beschwerdeführer seit Jahrzehnten nicht mehr im erlernten Beruf als Forstwart tätig war, sondern stets Hilfsarbeiten verrichtete. Ein Tabellenlohnabzug entfällt, da nicht ersichtlich ist, weshalb er seine Erwerbskapazität in leidensangepassten Tätigkeiten nur unterdurchschnittlich ausschöpfen könnte. Es resultiert ein Invaliditätsgrad von 0 %, womit kein Rentenanspruch besteht. Ein Anspruch auf Integritätsentschädigung besteht nach bundesrechtskonformer Auffassung der Vorinstanz ebenfalls nicht, da die Unfallfolgen - abgesehen von der minmalen peripheren Nervenschädigung und der leichten Arthrose - vollständig und folgenlos abgeheilt sind und somit keine dauernde und erhebliche Schädigung der körperlichen Integrität vorliegt.</w:t>
      </w:r>
    </w:p>
    <w:p>
      <w:r>
        <w:rPr>
          <w:b/>
        </w:rPr>
        <w:t>E. 5</w:t>
      </w:r>
    </w:p>
    <w:p>
      <w:r>
        <w:t>Was der Beschwerdeführer einwendet, ist offensichtlich unbegründet, soweit mit Blick auf die Anforderungen an eine hinreichende Beschwerdebegründung überhaupt darauf einzugehen ist ( Art. 42 Abs. 2 BGG ; vgl. E. 1) :</w:t>
      </w:r>
    </w:p>
    <w:p>
      <w:r>
        <w:rPr>
          <w:b/>
        </w:rPr>
        <w:t>E. 5.1</w:t>
      </w:r>
    </w:p>
    <w:p>
      <w:r>
        <w:t>Die Rügen einer Gehörsverletzung ( Art. 29 Abs. 2 BV ) sind nicht stichhaltig. Das Gericht muss sich nicht mit sämtlichen Parteistandpunkten einlässlich auseinandersetzen und jedes Vorbringen ausdrücklich widerlegen. Vielmehr kann es sich auf die für den Entscheid wesentlichen Punkte beschränken (zum Ganzen vgl. BGE 150 III 1 E. 4.5). Diesen Vorgaben genügt der angefochtene Entscheid. Entgegen der Darstellung in der Beschwerde setzte sich die Vorinstanz namentlich auch mit dem medizinischen Endzustand, den gesundheitlichen Einschränkungen, dem zumutbaren Pensum und dem Tabellenlohnabzug auseinander. Der Beschwerdeführer konnte das Urteil sachgerecht anfechten. Eine Gehörsverletzung liegt nicht vor.</w:t>
      </w:r>
    </w:p>
    <w:p>
      <w:r>
        <w:rPr>
          <w:b/>
        </w:rPr>
        <w:t>E. 5.2</w:t>
      </w:r>
    </w:p>
    <w:p>
      <w:r>
        <w:t>Auch die materiellrechtlichen Rügen sind unbegründet. Den medizinischen Endzustand vom 8. Juni 2016 bestreitet der Beschwerdeführer lediglich mit einem pauschalen Hinweis auf spätere Behandlungen, die nach den Feststellungen der Vorinstanz jedoch keine Verbesserung des Gesundheitszustands brachten. Sein Einwand, die Taggeldeinstellung im Juni 2016 sei unzulässig gewesen, weil der Grundfall nicht rechtskräftig abgeschlossen und das Ereignis im Jahr 2019 somit kein Rückfall gewesen sei, zielt ins Leere. Die Unterscheidung zwischen Grund- und Rückfall ist einzig für die Beweislast bei Beweislosigkeit hinsichtlich der Unfallkausalität relevant (vgl. Urteil 8C_424/2012 vom 29. November 2012 E. 5.2), was hier nicht zutrifft. Die in der Beschwerde behauptete Arbeitsvermittlung durch die Invalidenversicherung ist für den Fallabschluss der Unfallversicherung ebenfalls ohne Bedeutung (Urteil U 68/02 vom 14. April 2003 E. 5.1). Das vom Beschwerdeführer eingehend begründete Vorliegen einer unfallkausalen Arthrose im rechten oberen Sprunggelenk ist unbestritten. Von der Vorinstanz wurde lediglich festgestellt, dass dieses Leiden in angepassten Tätigkeiten keine zusätzlichen Einschränkungen bewirkt. Die vom Beschwerdeführer insoweit erneut behauptete Arbeitsunfähigkeit von 20-40 % bleibt unbelegt. Gleiches gilt für den geltend gemachten Zusammenhang zwischen der Talonavikulararthrose und dem Unfall. Der vom Beschwerdeführer im Weiteren verlangte Tabellenlohnabzug von 10-15 % beruht einzig auf subjektiven Einschätzungen des Gesundheitszustands. Angesichts des ärztlich festgestellten Belastungsprofils (E. 4) ist er nicht angezeigt (Urteil 8C_100/2024 vom 19. September 2024 E. 9.1.2). Selbst wenn, wie in der Beschwerde ferner geltend gemacht wird, das Valideneinkommen anhand des höheren Bruttolohns von Männern im Kompetenzniveau 2 (LSE 2016, Tabelle TA1_tirage_skill_level, Total, Männer, Kompetenzniveau 2: Fr. 5'646.-) berechnet würde, ergäbe sich kein rentenbegründender Invaliditätsgrad von mindestens 10 % ( Art. 18 Abs. 1 UVG ). Weiterungen erübrigen sich auch hinsichtlich der Integritätsentschädigung, die in der Beschwerde einzig mit einem pauschalen Hinweis auf die Arthrose begründet wird, ohne dass eine Auseinandersetzung mit den (schlüssigen) Erwägungen der Vorinstanz stattfände. Eine Verletzung des Untersuchungsgrundsatzes oder (in der Beschwerde nicht näher bezeichneter) Beweiswürdigungsregeln ist nach dem Gesagten nicht auszumachen. Die Vorinstanz durfte in zulässiger antizipierter Beweiswürdigung von weiteren Abklärungen absehen ( BGE 144 II 427 E. 3.1.3).</w:t>
      </w:r>
    </w:p>
    <w:p>
      <w:r>
        <w:rPr>
          <w:b/>
        </w:rPr>
        <w:t>E. 6</w:t>
      </w:r>
    </w:p>
    <w:p>
      <w:r>
        <w:t>Die offensichtlich unbegründete Beschwerde ist im vereinfachten Verfahren nach Art. 109 Abs. 2 lit. a BGG mit summarischer Begründung und unter Hinweis auf die Erwägungen im angefochtenen Entscheid ( Art. 109 Abs. 3 BGG ) zu erledigen. Das Gesuch um unentgeltliche Rechtspflege und Verbeiständung ist infolge Aussichtslosigkeit der Beschwerde abzuweisen ( Art. 64 Abs. 1 BGG ).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