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267/2022 vom 15. Juni 2022</w:t>
      </w:r>
    </w:p>
    <w:p>
      <w:r>
        <w:t>Bundesgericht, 2022-06-15, FR</w:t>
      </w:r>
    </w:p>
    <w:p>
      <w:r>
        <w:rPr>
          <w:b/>
        </w:rPr>
        <w:t xml:space="preserve">Quelle: </w:t>
      </w:r>
      <w:r>
        <w:t>https://mcp.opencaselaw.ch/entscheid/bger_8C_267_2022</w:t>
      </w:r>
    </w:p>
    <w:p>
      <w:r>
        <w:t>FR: TF 8C 267/2022 du 15 juin 2022</w:t>
      </w:r>
    </w:p>
    <w:p>
      <w:r>
        <w:t>IT: TF 8C 267/2022 del 15 giugno 2022</w:t>
      </w:r>
    </w:p>
    <w:p>
      <w:pPr>
        <w:pStyle w:val="Heading2"/>
      </w:pPr>
      <w:r>
        <w:t>Regeste</w:t>
      </w:r>
    </w:p>
    <w:p>
      <w:r>
        <w:t>Aide sociale (condition de recevabilité) | Santé &amp; sécurité sociale</w:t>
      </w:r>
    </w:p>
    <w:p>
      <w:pPr>
        <w:pStyle w:val="Heading2"/>
      </w:pPr>
      <w:r>
        <w:t>Erwägungen</w:t>
      </w:r>
    </w:p>
    <w:p>
      <w:r>
        <w:rPr>
          <w:b/>
        </w:rPr>
        <w:t>E. 1.1</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138 I 171 consid. 1.4).</w:t>
      </w:r>
    </w:p>
    <w:p>
      <w:r>
        <w:rPr>
          <w:b/>
        </w:rPr>
        <w:t>E. 1.3</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140 III 385 consid. 2.3; 138 V 67 consid. 2.2).</w:t>
      </w:r>
    </w:p>
    <w:p>
      <w:r>
        <w:rPr>
          <w:b/>
        </w:rPr>
        <w:t>E. 2.1</w:t>
      </w:r>
    </w:p>
    <w:p>
      <w:r>
        <w:t>La cour cantonale a retenu qu'en application de l'art. 11 de l'ancienne loi cantonale sur l'intégration et l'aide sociale du 29 mars 1996 (aLIAS; RS/VS 850.1), applicable ratione temporis au cas d'espèce, la recourante ne pouvait pas prétendre à l'obtention d'une mesure de réinsertion sur le marché du travail indépendamment de l'octroi d'une aide matérielle. En outre, en vertu de l'art. 10 al. 6 aLIAS et de l'art. 10 de l'ancien règlement d'exécution de cette loi (aRELIAS; RS/VS 850.100), la recourante ne pouvait pas non plus percevoir l'aide sociale, dès lors que son entreprise de conseil, inscrite au registre du commerce, n'était pas viable au terme d'un délai de six mois.</w:t>
      </w:r>
    </w:p>
    <w:p>
      <w:r>
        <w:rPr>
          <w:b/>
        </w:rPr>
        <w:t>E. 2.2</w:t>
      </w:r>
    </w:p>
    <w:p>
      <w:r>
        <w:t>Dans son écriture, la recourante rediscute certains faits relatifs à un licenciement prononcé en 2015 ainsi qu'aux motifs qui l'auraient conduite à requérir l'aide sociale. Elle relate également les circonstances de la création de son entreprise ainsi que les difficultés de développement de celle-ci, et décrit ses problèmes de santé. Ce faisant, elle n'expose toutefois pas en quoi les juges cantonaux auraient versé dans l'arbitraire ou violé un droit fondamental en appliquant le droit cantonal, plus particulièrement les dispositions de l'aLIAS et de l'aRELIAS. Par ailleurs, elle n'indique pas, dans ses conclusions, sur quels points l'arrêt entrepris devrait être modifié et dans quel sens. Partant, le recours ne répond pas aux exigences de l' art. 106 al. 2 LTF et doit être déclaré irrecevable selon la procédure simplifiée de l' art. 108 al. 1 let. b LTF .</w:t>
      </w:r>
    </w:p>
    <w:p>
      <w:r>
        <w:rPr>
          <w:b/>
        </w:rPr>
        <w:t>E. 3</w:t>
      </w:r>
    </w:p>
    <w:p>
      <w:r>
        <w:t>Au regard de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