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8C_267/2017 vom 17. Mai 2017</w:t>
      </w:r>
    </w:p>
    <w:p>
      <w:r>
        <w:t>Bundesgericht, 2017-05-17, DE</w:t>
      </w:r>
    </w:p>
    <w:p>
      <w:r>
        <w:rPr>
          <w:b/>
        </w:rPr>
        <w:t xml:space="preserve">Quelle: </w:t>
      </w:r>
      <w:r>
        <w:t>https://mcp.opencaselaw.ch/entscheid/bger_8C_267_2017</w:t>
      </w:r>
    </w:p>
    <w:p>
      <w:r>
        <w:t>FR: TF 8C_267/2017 du 17 mai 2017</w:t>
      </w:r>
    </w:p>
    <w:p>
      <w:r>
        <w:t>IT: TF 8C_267/2017 del 17 maggio 2017</w:t>
      </w:r>
    </w:p>
    <w:p>
      <w:pPr>
        <w:pStyle w:val="Heading2"/>
      </w:pPr>
      <w:r>
        <w:t>Volltext</w:t>
      </w:r>
    </w:p>
    <w:p>
      <w:r>
        <w:t>Bundesgericht</w:t>
      </w:r>
    </w:p>
    <w:p>
      <w:r>
        <w:t>Tribunal fédéral</w:t>
      </w:r>
    </w:p>
    <w:p>
      <w:r>
        <w:t>Tribunale federale</w:t>
      </w:r>
    </w:p>
    <w:p>
      <w:r>
        <w:t>Tribunal federal</w:t>
      </w:r>
    </w:p>
    <w:p>
      <w:r>
        <w:t>8C_267/2017    {T 0/2}</w:t>
      </w:r>
    </w:p>
    <w:p>
      <w:r>
        <w:t>Urteil vom 17. Mai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16. Januar 2017.</w:t>
      </w:r>
    </w:p>
    <w:p>
      <w:r>
        <w:t>Nach Einsicht</w:t>
      </w:r>
    </w:p>
    <w:p>
      <w:r>
        <w:t>in die Beschwerde vom 4. April 2017 (Poststempel) gegen den Entscheid des Verwaltungsgerichts des Kantons Bern vom 16. Januar 2017,</w:t>
      </w:r>
    </w:p>
    <w:p>
      <w:r>
        <w:t>in die Mitteilung des Bundesgerichts vom 12. April 2017 an A.________, worin auf die gesetzlichen Formerfordernisse von Beschwerden hinsichtlich Begehren und Begründung sowie auf die nur innert der Rechtsmittelfrist noch bestehende Verbesserungsmöglichkeit hingewiesen worden ist,</w:t>
      </w:r>
    </w:p>
    <w:p>
      <w:r>
        <w:t>in das gemäss postamtlicher Bescheinigung am 12. Mai 2017 bei der Schweizerischen Post eingegangene, am 1. Mai 2017 im Kosovo aufgegebene Schriftstück,</w:t>
      </w:r>
    </w:p>
    <w:p>
      <w:r>
        <w:t>in Erwägung,</w:t>
      </w:r>
    </w:p>
    <w:p>
      <w:r>
        <w:t>dass Eingaben aus dem Kosovo mangels gegenteilig lautender bilateraler Vereinbarung zwischen der Schweiz und dem Kosovo erst mit der Übergabe an die Schweizerische Post als fristwahrend zugesandt gelten (vgl. BGE 139 V 263 ),</w:t>
      </w:r>
    </w:p>
    <w:p>
      <w:r>
        <w:t>dass die nach Art. 100 Abs. 1 BGG 30-tägige Rechtsmittelfrist gemäss Art. 44-48 BGG am 1. Mai 2017 abgelaufen ist; sich mithin die zweite Eingabe als verspätet eingereicht erweist,</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das kantonale Gericht im angefochtenen Entscheid den Einspracheentscheid der Suva vom 16. September 2016 bestätigte, wonach die mit Neuanmeldung vom 28. August 2014 geltend gemachten Beschwerden nicht mit überwiegender Wahrscheinlichkeit mit dem bei der Suva versicherten Unfall von März 1996 in Verbindung zu bringen seien,</w:t>
      </w:r>
    </w:p>
    <w:p>
      <w:r>
        <w:t>dass es dabei die somatischen Beschwerden in Würdigung der im Recht gelegenen Arztberichte nicht als natürlich kausale Folgen des versicherten Unfallereignisses vom 13./14./15. oder 29. März 1996 betrachtete,</w:t>
      </w:r>
    </w:p>
    <w:p>
      <w:r>
        <w:t>dass es den psychischen Beschwerden in Anwendung der Rechtsprechung ( BGE 129 V 177 E. 4.1 S. 183 f.) die A däquanz zum als mittelschwer eingestuften Ereignis absprach,</w:t>
      </w:r>
    </w:p>
    <w:p>
      <w:r>
        <w:t>dass der Beschwerdeführer in seinen Eingaben, wovon die zweite ohnehin verspätet erfolgt ist (s.o.), darauf nicht konkret eingeht; lediglich den erstbehandelnden Arzt mit dem Hinweis anzurufen, vor dem Unfall beschwerdefrei gewesen zu sein, genügt eindeutig nicht,</w:t>
      </w:r>
    </w:p>
    <w:p>
      <w:r>
        <w:t>dass damit die Beschwerdeschrift offenkundig nicht den Mindestanforderungen nach Art. 42 Abs. 2 BGG zu genügen vermag,</w:t>
      </w:r>
    </w:p>
    <w:p>
      <w:r>
        <w:t>dass daher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17. Mai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