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8C_265/2025 vom 4. Juni 2025</w:t>
      </w:r>
    </w:p>
    <w:p>
      <w:r>
        <w:t>Bundesgericht, 2025-06-04, DE</w:t>
      </w:r>
    </w:p>
    <w:p>
      <w:r>
        <w:rPr>
          <w:b/>
        </w:rPr>
        <w:t xml:space="preserve">Quelle: </w:t>
      </w:r>
      <w:r>
        <w:t>https://mcp.opencaselaw.ch/entscheid/bger_8C_265_2025</w:t>
      </w:r>
    </w:p>
    <w:p>
      <w:r>
        <w:t>FR: TF 8C_265/2025 du 4 juin 2025</w:t>
      </w:r>
    </w:p>
    <w:p>
      <w:r>
        <w:t>IT: TF 8C_265/2025 del 4 giugno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legte im Entscheid vom 2. April 2025 in Auseinandersetzung mit den Parteivorbringen und in Würdigung der Akten dar, weshalb die Beschwerdegegnerin mit Verfügung vom 15. Januar 2025 trotz grundsätzlich attestierter Arbeits- und Ausbildungsfähigkeit von einem gegenwärtig fehlenden Anspruch auf weitergehende berufliche Massnahmen ausgehen durfte. Die zahlreich durchgeführten Eingliederungsversuche seien bisher allesamt gescheitert. Insbesondere habe der letzte Versuch bei der Stiftung B.________ augenscheinlich gezeigt, dass sich die medizinisch-theoretisch attestierte Arbeitsfähigkeit bei gleichbleibend labiler psychischer Situation sozialverträglich nicht realisieren lasse, denn anders als wie von den Medizinern angenommen, würden die psychischen Probleme nicht nur primär auf schulischer Ebene, sondern auch im Betrieb bzw. bei der praktischen Tätigkeit in einer den Lehrbetrieb auf die Dauer unzumutbar belastenden Weise auftreten.</w:t>
      </w:r>
    </w:p>
    <w:p>
      <w:r>
        <w:rPr>
          <w:b/>
        </w:rPr>
        <w:t>E. 3</w:t>
      </w:r>
    </w:p>
    <w:p>
      <w:r>
        <w:t>Der Beschwerdeführer zeigt nicht auf, inwieweit die von der Vorinstanz getroffenen Sachverhaltsfeststellungen offensichtlich unrichtig (vgl. Art. 97 Abs. 1 BGG ) - mithin willkürlich ( BGE 146 IV 88 E. 1.3.1 f.; 140 III 115 E. 2; je mit Hinweisen) - oder sonstwie bundesrechtswidrig sein sollen. Ebenso wenig führt er aus, weshalb die darauf beruhenden Erwägungen gegen Bundesrecht verstossen oder einen anderen Beschwerdegrund (vgl. Art. 95 lit. a-e BGG ) gesetzt haben könnten. Allein auf die von ärztlicher Seite attestierte Arbeitsfähigkeit zu verweisen und eine Ausbildung mit mehr Personen im Erwachsenenalter im Schulbetrieb zu fordern, reicht nicht aus. Inwiefern die von der Vorinstanz geschilderten Vorkommnisse bei der Arbeit im Betrieb auf einer unvollständigen, willkürlichen Tatsachenerhebung beruhen soll, wird nicht ausgeführt. Ebenso wenig ist damit die vorinstanzliche Würdigung, die medizinisch-theoretische Arbeitsfähigkeit lasse sich zumindest gegenwärtig wegen fehlender Zumutbarkeit für einen Arbeitgeber sozial-praktisch nicht verwerten, hinreichend in Frage gestellt. Die Vorbringen gehen insgesamt nicht über eine letztinstanzlich unzulässige appellatorische Kritik hinaus.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r>
        <w:t>Damit wird das mit der Beschwerdeerhebung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