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8C_264/2025 vom 30. Mai 2025</w:t>
      </w:r>
    </w:p>
    <w:p>
      <w:r>
        <w:t>Bundesgericht, 2025-05-30, DE</w:t>
      </w:r>
    </w:p>
    <w:p>
      <w:r>
        <w:rPr>
          <w:b/>
        </w:rPr>
        <w:t xml:space="preserve">Quelle: </w:t>
      </w:r>
      <w:r>
        <w:t>https://mcp.opencaselaw.ch/entscheid/bger_8C_264_2025</w:t>
      </w:r>
    </w:p>
    <w:p>
      <w:r>
        <w:t>FR: TF 8C_264/2025 du 30 mai 2025</w:t>
      </w:r>
    </w:p>
    <w:p>
      <w:r>
        <w:t>IT: TF 8C_264/2025 del 30 maggio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Entscheids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mit Entscheid vom 22. April 2025 die von der Beschwerdegegnerin gestützt auf Art. 30 Abs. 1 lit. a AVIG verfügte Einstellung des Beschwerdeführers in der Anspruchsberechtigung auf Arbeitslosenentschädigung für die Dauer von 39 Tagen (vgl. Verfügung vom 3. Juni 2024, bestätigt mit Einspracheentscheid vom 4. Juli 2024). Dabei setzte es sich mit den Parteivorbringen auseinander und legte in Würdigung der Akten dar, weshalb von einer selbstverschuldeten Arbeitslosigkeit auszugehen sei, welche eine Einstellung in diesem Umfang erlaube.</w:t>
      </w:r>
    </w:p>
    <w:p>
      <w:r>
        <w:rPr>
          <w:b/>
        </w:rPr>
        <w:t>E. 3</w:t>
      </w:r>
    </w:p>
    <w:p>
      <w:r>
        <w:t>Der Beschwerdeführer zeigt nicht auf, inwieweit die von der Vorinstanz in diesem Zusammenhang getroffenen Sachverhaltsfeststellungen offensichtlich unrichtig im Sinne von Art. 97 Abs. 1 BGG , das heisst willkürlich ( BGE 146 IV 88 E. 1.3.1 f.; 140 III 115 E. 2; je mit Hinweisen) sein und die darauf beruhenden Erwägungen gegen Bundesrecht verstossen oder einen anderen Beschwerdegrund (vgl. Art. 95 lit. a-e BGG ) gesetzt haben sollen. Er scheint zu verkennen, dass sein zur Kündigung des Arbeitsverhältnisses führendes Fehlverhalten (Filmen und Fotografieren von anderen Mitarbeitenden der Einsatzfirma, Übermitteln von solchen Aufnahmen an die Leiter der Einsatzfirma) gemäss vorinstanzlicher Feststellung dem Stellenvermittlungsbüro als Arbeitgeberin bereits am 26. April 2024 bekannt war. Ob das Büro den genauen Inhalt des Videos zu diesem Zeitpunkt bereits gekannt hatte oder nicht, war für das kantonale Gericht bei der Beurteilung, ob das Filmen und Fotografieren von Mitarbeitenden ursächlich für die (rechtmässige) Entlassung des Beschwerdeführers gewesen sei, ohne Belang. Daher zielt es an der Sache vorbei, wenn der Beschwerdeführer geltend macht, er habe das Video B.________ (als Vertreter der Arbeitgeberin) erst am 29. April 2024 zugestellt. Inwieweit sich das kantonale Gericht in einen offenen Widerspruch gesetzt haben soll, wenn es einerseits die Vorbringen des Beschwerdeführers aufnimmt, wonach er mit seinem Vorgehen Missstände innerhalb der Einsatzfirma aufgezeigt habe, andererseits aber in Darlegung des Geschehensablaufs nicht von einer Rachekündigung wegen aufgedeckter Missstände, sondern wegen der Film- und Fotoaufnahmen ausgeht, wird sodann nicht näher ausgeführt. Schliesslich reicht es nicht aus, verschiedene Rechtsgrundsätze anzurufen, ohne sie in einen erkennbaren Zusammenhang zu den vorinstanzlichen Erwägungen zu stellen.</w:t>
      </w:r>
    </w:p>
    <w:p>
      <w:r>
        <w:rPr>
          <w:b/>
        </w:rPr>
        <w:t>E. 4</w:t>
      </w:r>
    </w:p>
    <w:p>
      <w:r>
        <w:t>Fehlt es offensichtlich an einer sachbezogenen Begründung, so führt dies zu einem Nichteintreten auf das Rechtsmittel im vereinfachten Verfahren nach Art. 108 Abs. 1 lit. b BGG .</w:t>
      </w:r>
    </w:p>
    <w:p>
      <w:r>
        <w:rPr>
          <w:b/>
        </w:rPr>
        <w:t>E. 5</w:t>
      </w:r>
    </w:p>
    <w:p>
      <w:r>
        <w:t>In Anwendung von Art. 66 Abs. 1 Satz 2 BGG wird ausnahmsweise auf die Erhebung von Gerichtskosten verzichtet. Damit wird das mit der Beschwerde gestellte Gesuch um unentgeltliche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