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264/2012 vom 4. Juli 2012</w:t>
      </w:r>
    </w:p>
    <w:p>
      <w:r>
        <w:t>Bundesgericht, 2012-07-04, DE</w:t>
      </w:r>
    </w:p>
    <w:p>
      <w:r>
        <w:rPr>
          <w:b/>
        </w:rPr>
        <w:t xml:space="preserve">Quelle: </w:t>
      </w:r>
      <w:r>
        <w:t>https://mcp.opencaselaw.ch/entscheid/bger_8C_264_2012</w:t>
      </w:r>
    </w:p>
    <w:p>
      <w:r>
        <w:t>FR: TF 8C 264/2012 du 4 juillet 2012</w:t>
      </w:r>
    </w:p>
    <w:p>
      <w:r>
        <w:t>IT: TF 8C 264/2012 del 4 luglio 2012</w:t>
      </w:r>
    </w:p>
    <w:p>
      <w:pPr>
        <w:pStyle w:val="Heading2"/>
      </w:pPr>
      <w:r>
        <w:t>Regeste</w:t>
      </w:r>
    </w:p>
    <w:p>
      <w:r>
        <w:t>Invalidenversicherung (Neuanmeldung) | Invalidenversicherung</w:t>
      </w:r>
    </w:p>
    <w:p>
      <w:pPr>
        <w:pStyle w:val="Heading2"/>
      </w:pPr>
      <w:r>
        <w:t>Erwägungen</w:t>
      </w:r>
    </w:p>
    <w:p>
      <w:r>
        <w:rPr>
          <w:b/>
        </w:rPr>
        <w:t>E. 1</w:t>
      </w:r>
    </w:p>
    <w:p>
      <w:r>
        <w:t>Das Bundesgericht legt seinem Urteil den Sachverhalt zugrunde, den die Vorinstanz festgestellt hat ( Art. 105 Abs. 1 BGG ) und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134 V 250 E. 1.2 S. 252 mit Hinweisen).</w:t>
      </w:r>
    </w:p>
    <w:p>
      <w:r>
        <w:rPr>
          <w:b/>
        </w:rPr>
        <w:t>E. 2</w:t>
      </w:r>
    </w:p>
    <w:p>
      <w:r>
        <w:t>Prozessthema bildet die Frage, ob im Sinne von Art. 87 Abs. 3 IVV glaubhaft gemacht ist, dass sich der Grad der Invalidität seit der Ablehnungsverfügung vom 27. Oktober 2006 bis zum Erlass der Nichteintretensverfügung vom 12. April 2011 in einer für den Anspruch auf Invalidenrente erheblichen Weise geändert hat ( BGE 130 V 64 E. 5.2.5 S. 68). Dabei sind, wie die Vorinstanz zutreffend erwogen hat, allein die im Verwaltungsverfahren eingereichten medizinischen Unterlagen zu prüfen, weshalb die vor- und letztinstanzlich aufgelegten Stellungnahmen des Dr. med. F.________ vom 19. Mai 2011 und 12. März 2012 ausser Acht zu bleiben haben.</w:t>
      </w:r>
    </w:p>
    <w:p>
      <w:r>
        <w:rPr>
          <w:b/>
        </w:rPr>
        <w:t>E. 3.1</w:t>
      </w:r>
    </w:p>
    <w:p>
      <w:r>
        <w:t>Die Eintretensvoraussetzung nach Art. 87 Abs. 3 und 4 IVV soll verhindern, dass sich die Verwaltung immer wieder mit gleichlautenden und nicht näher begründeten Rentengesuchen befassen muss ( BGE 133 V 109 E. 5.3.1 S. 112). Sie verfügt dabei über einen gewissen Beurteilungs- und Ermessensspielraum, den das Gericht zu respektieren hat ( BGE 109 V 108 E. 2b S. 114, 262 E. 3 S. 264; SZS 2009 S. 397, 9C_286/2009 E. 2.2.1 mit weiterem Hinweis und E. 3.2.3).</w:t>
      </w:r>
    </w:p>
    <w:p>
      <w:r>
        <w:rPr>
          <w:b/>
        </w:rPr>
        <w:t>E. 3.2</w:t>
      </w:r>
    </w:p>
    <w:p>
      <w:r>
        <w:t>Die Schlussfolgerung des Dr. med. F.________ (Gutachten vom 3. Februar 2009), es liege ein vollständig invalidisierender psychiatri-scher Gesundheitsschaden vor, steht derjenigen der Frau Dr. med. B.________ (Gutachten vom 10. Januar 2011) gegenüber, die keine die Arbeitsfähigkeit einschränkenden Befunde erheben konnte. Die vom Beschwerdeführer erneut diskutierte Frage, welcher Expertise eher Beweiskraft zukomme, trifft den entscheidenden Punkt nicht. Zu prüfen ist, ob den ärztlichen Angaben glaubhafte Anhaltspunkte für eine revisionsrechtlich erhebliche Veränderung des Gesundheitszustands zu entnehmen sind. Dies trifft nach den einlässlichen Darlegungen der Vorinstanz auf das Gutachten des Dr. med. F.________ nicht zu. Er ging von der wenig nachvollziehbaren Annahme aus, die auch vom Spital A._________ gemäss Berichten vom 13. Juli 1999 und 10. Mai 2005 diagnostizierte Persönlichkeitsstörung nach ICD-10 F60.8 mit unreifen und emotional instabilen Anteilen habe sich in jüngeren Jahren nur deshalb nicht auf die Arbeitsfähigkeit ausgewirkt, weil es sich bei dem von 1986 bis Ende 1999 dauernden Anstellungsverhältnis bei der Firma Y.________ (vgl. Fragebogen für den Arbeitgeber vom 31. Mai 2006 mit beigelegter Verfügung betreffend der fristlosen Auflösung des provisorischen Dienstverhältnisses vom 28. Dezember 1999) um einen "Nischenarbeitsplatz" gehandelt habe. Im Wesentlichen gestützt darauf und den weiteren Umstand, dass der Versicherte danach keine vollzeitliche Festanstellung mehr ausübte, gelangte Dr. med. F.________ zum Ergebnis, die Persönlichkeitsstörung habe sich akzentuiert, bei anlässlich der Untersuchungen vom 21. Juni und 24. Oktober 2008 psychisch kompensiertem und unauffälligem Zustand. Demnach beruhten dessen Beurteilung und Schlussfolgerung auf einem Sachverhalt, der im Zeitpunkt der Ablehnungsverfügung vom 27. Oktober 2006 bereits bekannt gewesenen war, und die daher allenfalls zu einer wiedererwägungsweisen Neuprüfung des geltend gemachten Rentenanspruchs führen könnten, die aber nicht eine seither eingetretene revisionsrechtlich erhebliche Veränderung des Gesundheitszustands glaubhaft machten. Nachdem auch Frau Dr. med. B.________ gemäss Gutachten vom 10. Januar 2011 anlässlich der von ihr durchgeführten Exploration vom 5. März 2010 keine die Arbeitsfähigkeit beeinträchtigenden Befunde erheben konnte, ist mit der Vorinstanz nicht zu beanstanden, dass die IV-Stelle von einer erneuten materiellen Prüfung des geltend gemachten Rentenanspruchs absah.</w:t>
      </w:r>
    </w:p>
    <w:p>
      <w:r>
        <w:rPr>
          <w:b/>
        </w:rPr>
        <w:t>E. 4</w:t>
      </w:r>
    </w:p>
    <w:p>
      <w:r>
        <w:t>Die offensichtlich unbegründete Beschwerde wird im vereinfachten Verfahren nach Art. 109 Abs. 2 lit. a BGG - ohne Durchführung des Schriftenwechsels, mit summarischer Begründung und unter Verweis auf den kantonalen Entscheid ( Art. 102 Abs. 1 und Art. 109 Abs. 3 BGG ) - erledigt.</w:t>
      </w:r>
    </w:p>
    <w:p>
      <w:r>
        <w:rPr>
          <w:b/>
        </w:rPr>
        <w:t>E. 5</w:t>
      </w:r>
    </w:p>
    <w:p>
      <w:r>
        <w:t>Das Gesuch um unentgeltliche Rechtspflege für das bundesgerichtliche Verfahren ist wegen Aussichtslosigkeit der Beschwerde abzuweisen (Art. 64 Abs. 1 in fine BGG).</w:t>
      </w:r>
    </w:p>
    <w:p>
      <w:r>
        <w:rPr>
          <w:b/>
        </w:rPr>
        <w:t>E. 6</w:t>
      </w:r>
    </w:p>
    <w:p>
      <w:r>
        <w:t>Auf die Erhebung von Gerichtskosten wird ausnahmsweise verzichtet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