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8C_263/2013 vom 19. August 2013</w:t>
      </w:r>
    </w:p>
    <w:p>
      <w:r>
        <w:t>Bundesgericht, 2013-08-19, DE</w:t>
      </w:r>
    </w:p>
    <w:p>
      <w:r>
        <w:rPr>
          <w:b/>
        </w:rPr>
        <w:t xml:space="preserve">Quelle: </w:t>
      </w:r>
      <w:r>
        <w:t>https://mcp.opencaselaw.ch/entscheid/bger_8C_263_2013</w:t>
      </w:r>
    </w:p>
    <w:p>
      <w:r>
        <w:t>FR: TF 8C_263/2013 du 19 août 2013</w:t>
      </w:r>
    </w:p>
    <w:p>
      <w:r>
        <w:t>IT: TF 8C_263/2013 del 19 agosto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37 Abs. 2 UVG werden in der Versicherung der Nichtberufsunfälle - in Abweichung von Art. 21 Abs. 1 ATSG - die Taggelder, die während der ersten zwei Jahre nach dem Unfall ausgerichtet werden, gekürzt, wenn der Versicherte den Unfall grob fahrlässig herbeigeführt hat (Satz 1).</w:t>
      </w:r>
    </w:p>
    <w:p>
      <w:r>
        <w:rPr>
          <w:b/>
        </w:rPr>
        <w:t>E. 3</w:t>
      </w:r>
    </w:p>
    <w:p>
      <w:r>
        <w:t>Der Beschwerdeführer wurde mit Strafentscheid des Regionalgerichts Y.________ vom 23. Februar 2012 wegen einfacher Verkehrsregelverletzung, mehrfach begangen (unter anderem) durch zu nahe aufgeschlossenes Fahren mit Personenwagen und missbräuchliche Verwendung der Lichthupe, zu einer Übertretungsbusse verurteilt. Er macht indessen geltend, dass er erst nachdem ihm der Stinkefinger gezeigt worden sei die Lichthupe betätigt habe. Es fehle an einem adäquaten Kausalzusammenhang zwischen seinem Verhalten und den ihm zugefügten Faustschlägen, weshalb die Taggeldkürzung unzulässig sei.</w:t>
      </w:r>
    </w:p>
    <w:p>
      <w:r>
        <w:rPr>
          <w:b/>
        </w:rPr>
        <w:t>E. 4.1</w:t>
      </w:r>
    </w:p>
    <w:p>
      <w:r>
        <w:t>Nach ständiger Rechtsprechung handelt grobfahrlässig, wer jene elementaren Vorsichtsgebote unbeachtet lässt, die jeder verständige Mensch in der gleichen Lage und unter den gleichen Umständen befolgt hätte, um eine nach dem natürlichen Lauf der Dinge voraussehbare Schädigung zu vermeiden ( BGE 118 V 105 E. 2a S. 306). Das Verhalten muss, um - durch Verletzung elementarster Vorsichtsgebote - Rechtsnachteile zu gewärtigen, Unverständnis, Kopfschütteln und Tadel auslösen, eine moralische Verurteilung nach sich ziehen und die Grenze des Tolerierbaren überschreiten (SVR 2003 UV Nr. 3 S. 7, U 195/01 E. 1; Riemer-Kafka, Die Pflicht zur Selbstverantwortung, Leistungskürzungen und Leistungsverweigerungen zufolge Verletzung der Schadensverhütungs- und Schadensminderungspflicht im schweizerischen Sozialversicherungsrecht, Freiburg 1999, S. 131).</w:t>
      </w:r>
    </w:p>
    <w:p>
      <w:r>
        <w:rPr>
          <w:b/>
        </w:rPr>
        <w:t>E. 4.2</w:t>
      </w:r>
    </w:p>
    <w:p>
      <w:r>
        <w:t>Bei Fehlverhalten im Strassenverkehr ist grobe Fahrlässigkeit im Sinne von Art. 37 Abs. 2 UVG in der Regel dann anzunehmen, wenn in ursächlichem Zusammenhang mit dem Unfall eine elementare Verkehrsvorschrift oder mehrere wichtige Verkehrsregeln schwerwiegend verletzt wurden. Der Begriff der groben Fahrlässigkeit nach Art. 37 Abs. 2 UVG ist in diesen Fällen weiter zu fassen als derjenige der groben Verletzung von Verkehrsregeln nach Art. 90 Ziff. 2 SVG , welcher ein rücksichtsloses oder sonst schwerwiegend regelwidriges Verhalten voraussetzt ( BGE 118 V 305 E. 2b S. 307; seit 1. Januar 2013: Art. 90 Abs. 2 SVG ).</w:t>
      </w:r>
    </w:p>
    <w:p>
      <w:r>
        <w:rPr>
          <w:b/>
        </w:rPr>
        <w:t>E. 4.3</w:t>
      </w:r>
    </w:p>
    <w:p>
      <w:r>
        <w:t>Eine grobe Fahrlässigkeit rechtfertigt eine Kürzung der Leistungen des Unfallversicherers nur dann, wenn zwischen dem Verhalten und dem Unfallereignis oder seinen Folgen ein natürlicher und adäquater Kausalzusammenhang vorliegt ( BGE 126 V 353 E. 5b i.f. S. 361; 121 V 45 E. 2c S. 48; 118 V 305 E. 2c S. 307). Ursachen im Sinne des natürlichen Kausalzusammenhangs sind nach der Rechtsprechung alle Umstände, ohne deren Vorhandensein der eingetretene Erfolg nicht als eingetreten oder nicht als in der gleichen Weise beziehungsweise nicht zur gleichen Zeit eingetreten gedacht werden kann. Als adäquate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 BGE 129 V 177 E. 3.1 und 3.2 S. 181; vgl. dazu wie auch zu den nachfolgenden Erwägungen Kramer, Die Kausalität im Haftpflichtrecht: Neue Tendenzen in Theorie und Praxis, ZBJV 123/1987 S. 289 ff.).</w:t>
      </w:r>
    </w:p>
    <w:p>
      <w:r>
        <w:rPr>
          <w:b/>
        </w:rPr>
        <w:t>E. 5.1</w:t>
      </w:r>
    </w:p>
    <w:p>
      <w:r>
        <w:t>Gemäss Einspracheentscheid der SUVA hat der Beschwerdeführer mit dem zu nahen Aufschliessen auf das Vorderfahrzeug eine elementare Sorgfaltspflicht verletzt, dessen Fahrer und Beifahrer damit provoziert und sich selber in eine gefährliche Situation begeben. Dem pflichtete die Vorinstanz bei, ohne sich näher dazu zu äussern. Die SUVA geht auch von einem adäquaten Kausalzusammenhang zwischen diesem Verhalten und den eingesteckten Schlägen aus, zumal dieser nur dann zu verneinen sei, wenn die Reaktion der Insassen des Vorderfahrzeuges ausserhalb des möglicherweise zu Erwartenden gelegen habe. Das kantonale Gericht führt dazu aus, dass die unbestrittenen und wiederholten Provokationen geeignet gewesen seien, den vorausfahrenden Lenker sowie dessen Beifahrer aufgrund der wiederholt herbeigeführten gefährlichen Situationen zu Handgreiflichkeiten zu reizen. Der Beschwerdeführer habe damit rechnen müssen, dass die Personen im vorausfahrenden Fahrzeug aggressiv reagieren könnten und die Situation eskalieren könnte.</w:t>
      </w:r>
    </w:p>
    <w:p>
      <w:r>
        <w:rPr>
          <w:b/>
        </w:rPr>
        <w:t>E. 5.2</w:t>
      </w:r>
    </w:p>
    <w:p>
      <w:r>
        <w:t>Streitig ist die Kürzung der Versicherungsleistungen wegen grobfahrlässiger Herbeiführung des Unfalls im Sinne von Art. 37 Abs. 2 UVG durch die Verletzung von Verkehrsregeln. Es ist hier indessen nach dem - allenfalls grobfahrlässigen - Fehlverhalten des Beschwerdeführers im Strassenverkehr nicht zu einem Autounfall, sondern zu einer tätlichen Auseinandersetzung gekommen. Zu prüfen ist, ob die dem Versicherten dabei zugefügte Körperverletzung nach den Grundsätzen der adäquaten Kausalität seinem Fehlverhalten im Strassenverkehr zuzurechnen ist. Was Verwaltung und Vorinstanz dazu ausführen, vermag nicht zu überzeugen. Erfahrungsgemäss ist eine Missachtung von Verkehrsregeln geeignet, zu einer Gefährdung der Sicherheit der Verkehrsteilnehmer, zu Autounfällen und damit verbunden zu entsprechenden Verletzungsfolgen zu führen. Die Missachtung der Regel über das Einhalten eines ausreichenden Abstandes beim Hintereinanderfahren im Sinne von Art. 34 Abs. 4 SVG ist eine häufige Unfallursache ( BGE 131 IV 133 E. 3.2.1 S. 137; Urteil 1C_424/2012 vom 15. Januar 2013 E. 4.1 und 4.2) und kann auch zu tödlichen Verletzungen anderer Verkehrsteilnehmer führen (vgl. z.B. Urteile 6B_576/2007 vom 22. Januar 2008; 6S_127/2007 vom 6. Juli 2007). Wenn es hier infolge eines Strassenverkehrsdelikts zu einer Schlägerei gekommen ist, ist die Abfolge der Ereignisse im Einzelnen einer näheren Überprüfung zu unterziehen mit Blick auf die jeweils mit überwiegender Wahrscheinlichkeit zu erwartenden Verlaufsmöglichkeiten. Dabei fällt im vorliegend zu beurteilenden Fall auf und ist entscheidwesentlich, dass das strafrechtlich als leichte Verkehrsregelverletzung geahndete Fehlverhalten des Beschwerdeführers nach Lage der Akten nicht zu einer ernstlichen Gefährdung der Insassen des Vorderfahrzeuges geführt hat. Sie gaben an, dass sie sich "nicht sehr wohl" gefühlt beziehungsweise "langsam aber sicher genervt" hätten. Ausschlaggebend ist, dass es der Beschwerdeführer nicht so weit hat kommen lassen, dass er andere Verkehrsteilnehmer in ihrer Sicherheit ernsthaft bedroht hätte oder es gar zu einer Kollision, allenfalls mit Verletzungsfolgen, gekommen wäre. Nachdem ein solcher erfahrungsgemäss durch die Verkehrsregelverletzung begünstigter Schadenserfolg nicht eingetreten ist, lässt sich ein adäquater Kausalzusammenhang mit dem tätlichen Angriff eines anderen Verkehrsteilnehmers nicht begründen.</w:t>
      </w:r>
    </w:p>
    <w:p>
      <w:r>
        <w:rPr>
          <w:b/>
        </w:rPr>
        <w:t>E. 6</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