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8C_262/2025 vom 4. Mai 2026</w:t>
      </w:r>
    </w:p>
    <w:p>
      <w:r>
        <w:t>Bundesgericht, 2026-05-04, DE</w:t>
      </w:r>
    </w:p>
    <w:p>
      <w:r>
        <w:rPr>
          <w:b/>
        </w:rPr>
        <w:t xml:space="preserve">Quelle: </w:t>
      </w:r>
      <w:r>
        <w:t>https://mcp.opencaselaw.ch/entscheid/bger_8C_262_2025</w:t>
      </w:r>
    </w:p>
    <w:p>
      <w:r>
        <w:t>FR: TF 8C_262/2025 du 4 mai 2026</w:t>
      </w:r>
    </w:p>
    <w:p>
      <w:r>
        <w:t>IT: TF 8C_262/2025 del 4 maggio 2026</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Ein Entscheid, mit welchem eine Vorinstanz des Bundesgerichts eine bestimmte, vorangehende Teilperiode des Leistungsanspruchs materiell abschliessend beurteilt und für eine darauf folgende Teilperiode die Sache zu neuer Beurteilung an die Verwaltung zurückweist, ist in Bezug auf die materiell abschliessend beurteilte (vorangehende) Phase ein Teilentscheid, der selbstständig anfechtbar ist, bei Nichtanfechtung selbstständig rechtskräftig wird und später nicht mehr angefochten werden kann (vgl. Urteil 9C_145/2025 vom 16. März 2026 E. 1.3). In Bezug auf die materiell nicht abschliessend beurteilte Phase stellt ein solcher Entscheid einen Zwischenentscheid im Sinne von Art. 93 BGG dar. Soweit es sich beim angefochtenen kantonalen Entscheid vom 20. März 2025 somit nicht ohnehin um einen selbstständig anfechtbaren Teilendentscheid handelt, ist er als Zwischenentscheid zu qualifizieren. Da dieser jedoch materielle Vorgaben enthält, wäre die Beschwerdeführerin, könnte sie den kantonalen Gerichtsentscheid nicht vor Bundesgericht anfechten, gezwungen, eine ihres Erachtens rechtswidrige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Beschwerdeführerin führen (vgl. BGE 133 V 477 E. 5.2 ff.). Auf die Beschwerde der Unia Arbeitslosenkasse ist demnach grundsätzlich (vgl. E. 2.3 hiernach) einzugehen.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allfällige weitere rechtliche Mängel nicht geradezu offensichtlich sind ( BGE 147 I 73 E. 2.1; 145 V 57 E. 4.2; je mit Hinweis).</w:t>
      </w:r>
    </w:p>
    <w:p>
      <w:r>
        <w:rPr>
          <w:b/>
        </w:rPr>
        <w:t>E. 2.2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"Offensichtlich unrichtig" ist mit "willkürlich" gleichzusetzen ( BGE 150 II 346 E. 1.6). Tatfrage ist auch die Beweiswürdigung ( BGE 148 V 70 E. 5.1.1).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2.3</w:t>
      </w:r>
    </w:p>
    <w:p>
      <w:r>
        <w:t>Neue Tatsachen und Beweismittel dürfen vor Bundesgericht nur soweit vorgebracht werden, als erst der Entscheid der Vorinstanz dazu Anlass gibt ( Art. 99 Abs. 1 BGG ), was in der Beschwerde näher darzulegen ist ( Art. 42 Abs. 2 BGG ; BGE 148 V 174 E. 2.2). Die Beschwerdeführerin macht letztinstanzlich erstmals geltend, es sei auch die in der Lohnabrechnung Februar 2024 angeführte Aktienzuteilung im Betrag von Fr. 140'381.22 anteilsmässig in die Zwischenverdienstrechnung aufzunehmen. Darauf ist demnach nicht einzugehen.</w:t>
      </w:r>
    </w:p>
    <w:p>
      <w:r>
        <w:rPr>
          <w:b/>
        </w:rPr>
        <w:t>E. 2.4</w:t>
      </w:r>
    </w:p>
    <w:p>
      <w:r>
        <w:t>Soweit der Beschwerdegegner nebst der Beschwerdeabweisung (und seinem Gesuch um unentgeltliche Rechtspflege für das Verfahren vor Bundesgericht) weitere Rechtsbegehren stellt, kann darauf nicht eingegangen werden, da es vor Bundesgericht keine Anschlussbeschwerde gibt (vgl. etwa Urteil 8C_785/2020 vom 7. Mai 2021 E. 1.3). Der Beschwerdegegner wäre gehalten gewesen, selbst Beschwerde gegen den kantonalen Entscheid zu führen, wenn er damit nicht einverstanden ist. Soweit sich seine Anträge nicht auf den kantonalen Entscheid, sondern auf ausserhalb des Streitgegenstandes Liegendes bezieht, kann darauf ebenfalls nicht eingegangen werden. Auf seine weitergehenden Anträge ist demnach, unter Vorbehalt ihrer allfälligen Gegenstandslosigkeit durch das vorliegende Endurteil, nicht einzutreten.</w:t>
      </w:r>
    </w:p>
    <w:p>
      <w:r>
        <w:rPr>
          <w:b/>
        </w:rPr>
        <w:t>E. 3</w:t>
      </w:r>
    </w:p>
    <w:p>
      <w:r>
        <w:t>Streitig ist ein Rückforderungsanspruch der Beschwerdeführerin für ab 1. April 2022 zu Unrecht erbrachte Arbeitslosenentschädigungen. Zu prüfen ist, ob das kantonale Gericht Bundesrecht verletzte, als es einen Rückforderungsanspruch für die Monate April bis Dezember 2022 verneinte und die Sache betreffend der im Jahre 2023 ausbezahlten Leistungen an die Beschwerdeführerin zurückwies. Die Beschwerdeführerin macht geltend, die Vorinstanz habe Bundesrecht verletzt, als sie die in der Lohnabrechnung vom Februar 2023 ausgewiesene Aktienzuteilung zeitlich einzig dem Jahr 2020 zugerechnet habe.</w:t>
      </w:r>
    </w:p>
    <w:p>
      <w:r>
        <w:rPr>
          <w:b/>
        </w:rPr>
        <w:t>E. 4.1</w:t>
      </w:r>
    </w:p>
    <w:p>
      <w:r>
        <w:t>Die Beschwerdeführerin beruft sich zur Untermauerung ihres Standpunktes auf Akten, die dem kantonalen Gericht nicht vorgelegen haben. Sie macht geltend, diese Akten irrtümlich nicht dem Gericht eingereicht zu haben. Ob eine solche Prozessführung, bei der eine Aufhebung des kantonalen Entscheides aufgrund eines eigenen Fehlers der beschwerdeführenden Partei verlangt wird, grundsätzlich statthaft ist, erscheint zweifelhaft, braucht indessen nicht näher geprüft zu werden. Jedenfalls ist es dem Bundesgericht aufgrund des Novenverbotes nach Art. 99 BGG (vgl. E. 2.3) grundsätzlich verwehrt, ein Urteil gestützt auf Beweismittel zu fällen, die dem kantonalen Gericht nicht vorlagen. Davon zu unterscheiden ist die Frage, ob es sich als bundesrechtswidrig erweist, dass die Vorinstanz ihren Entscheid fällte, ohne dass sie der Beschwerdeführerin Gelegenheit gab, die unvollständigen Akten zu ergänzen. Dies ist nachstehend näher zu prüfen.</w:t>
      </w:r>
    </w:p>
    <w:p>
      <w:r>
        <w:rPr>
          <w:b/>
        </w:rPr>
        <w:t>E. 4.2</w:t>
      </w:r>
    </w:p>
    <w:p>
      <w:r>
        <w:t>Rechtsprechungsgemäss liegt es nicht im Belieben der Behörde, im Beschwerdeverfahren dem Gericht nur diejenigen Akten einzureichen, welche sie als notwendig und für die Beurteilung des Falles entscheidend erachtet (Urteile 8C_616/2013 vom 28. Januar 2014 E. 2.1 und 8C_289/2024 vom 28. Juli 2025 E. 3.2). Der verfassungsmässige Anspruch auf eine geordnete und übersichtliche Aktenführung verpflichtet die Behörden und Gerichte, die Vollständigkeit der im Verfahren eingebrachten und erstellten Akten sicherzustellen ( BGE 138 V 218 E. 8.1.2; SVR 2011 IV Nr. 44 S. 131 E. 2.2.1, 8C_319/2010; Urteil 5A_341/2009 vom 30. Juni 2009 E. 5.2). 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 ( BGE 138 V 218 E. 8.1.2; vgl. auch Urteil 9C_171/2024 vom 8. November 2024 E. 4.3.2). Ferner sind die Unterlagen von Beginn weg in chronologischer Reihenfolge abzulegen; bei Vorliegen eines Gesuchs um Akteneinsicht und spätestens im Zeitpunkt des Entscheides ist das Dossier zudem durchgehend zu paginieren (SVR 2011 IV Nr. 44 S. 131 E. 2.2.2, 8C_319/2010). In der Regel ist auch ein Aktenverzeichnis zu erstellen, welches eine chronologische Auflistung sämtlicher in einem Verfahren gemachter Eingaben enthält (Urteil 2C_327/2010 vom 19. Mai 2011 E. 3.2, nicht publiziert in BGE 137 I 247 ; SVR 2011 IV Nr. 44 S. 131 E. 2.2.2, 8C_319/2010). Eine Verletzung der Aktenführungspflicht durch Nichtaufnahme oder Entfernung von Unterlagen kann, unter Vorbehalt bloss geringfügiger Unzulänglichkeiten bei der Dossierverwaltung, zu einer Beweisvereitelung und damit zu einer Umkehr der objektiven Beweislast führen (Urteil 8C_545/2021 vom 4. Mai 2022 E. 5.2.2 mit Hinweis auf BGE 138 V 218 E. 8.1 und 8.3).</w:t>
      </w:r>
    </w:p>
    <w:p>
      <w:r>
        <w:rPr>
          <w:b/>
        </w:rPr>
        <w:t>E. 4.3</w:t>
      </w:r>
    </w:p>
    <w:p>
      <w:r>
        <w:t>Das kantonale Gericht hat die Mangelhaftigkeit der Aktenführung bzw. die Unvollständigkeit der ihm von der Beschwerdeführerin eingereichten Akten erkannt und in seinen Erwägungen auch adressiert. Es kam indessen zum Schluss, dass trotz der festgestellten Mängel in der Aktenführung eine Entscheidfindung möglich war. Die Beschwerdeführerin legt nicht dar, inwiefern dieser Schluss bundesrechtswidrig sein soll. Bei einer solchen Ausgangslage war das kantonale Gericht entgegen den Ausführungen der Beschwerdeführerin nicht verpflichtet, bei dieser nachzufragen, ob allenfalls noch weitere Akten existierten. Aufgrund der dargelegten Grundsätze zur Aktenführung und -einreichungspflicht durfte es vielmehr davon ausgehen, dass die Beschwerdeführerin alle bei ihr vorhandenen Akten eingereicht hatte und die Unvollständigkeit auf eine mangelhafte Aktenführung zurückzuführen sei. Somit vermögen die Vorbringen der Beschwerdeführerin die Vorgehensweise der Vorinstanz, ihren Entscheid alleine auf die ihr vorliegenden Akten und die vom Beschwerdegegner eingereichten Schriftstücke zu stützen, nicht als bundesrechtswidrig erscheinen zu lassen.</w:t>
      </w:r>
    </w:p>
    <w:p>
      <w:r>
        <w:rPr>
          <w:b/>
        </w:rPr>
        <w:t>E. 5.1</w:t>
      </w:r>
    </w:p>
    <w:p>
      <w:r>
        <w:t>Jedes Einkommen aus unselbstständiger oder selbstständiger Erwerbstätigkeit, das der Arbeitslose innerhalb einer Kontrollperiode erzielt, gilt nach Art. 24 Abs. 1 AVIG als Zwischenverdienst. Der Versicherte hat Anspruch auf Ersatz des Verdienstausfalls. Als Verdienstausfall gilt gemäss Art. 24 Abs. 3 AVIG die Differenz zwischen dem in der Kontrollperiode erzielten Zwischenverdienst, mindestens aber dem berufs- und ortsüblichen Ansatz für die betreffende Arbeit, und dem versicherten Verdienst.</w:t>
      </w:r>
    </w:p>
    <w:p>
      <w:r>
        <w:rPr>
          <w:b/>
        </w:rPr>
        <w:t>E. 5.2</w:t>
      </w:r>
    </w:p>
    <w:p>
      <w:r>
        <w:t>Ein Einkommen gilt grundsätzlich in dem Zeitpunkt als erzielt, in welchem der Rechtsanspruch auf die Leistung erworben wird. Ein Einkommen ist mit anderen Worten erzielt, sobald die Forderung für die erbrachte Leistung entstanden ist, nicht erst bei der Gutschrift oder Erfüllung in bar ( BGE 122 V 367 E. 5b; vgl. auch BGE 150 V 235 E. 7.4.4). Entsprechend ist eine Lohnzahlung jenem Monat zuzuordnen, in welchem die Arbeitsleistung hierfür erbracht wurde (Urteile 8C_246/2021 vom 2. Juli 2021 E. 4.2 und 8C_89/2019 vom 19. Juni 2019 E. 6.4).</w:t>
      </w:r>
    </w:p>
    <w:p>
      <w:r>
        <w:rPr>
          <w:b/>
        </w:rPr>
        <w:t>E. 6.1</w:t>
      </w:r>
    </w:p>
    <w:p>
      <w:r>
        <w:t>Es steht fest und ist unbestritten, dass der Beschwerdegegner im Februar 2023 Aktien der Muttergesellschaft seiner Arbeitgeberin im Wert von Fr. 156'819.26 zugeteilt erhielt. Gemäss den Feststellungen der Vorinstanz entstand der Anspruch auf diese Aktien bereits im Februar 2020; die effektive Zuteilung wurde indessen im Sinne eines Long-Term-Incentive-Planes (LTI-Plan) um 36 Monate verzögert. Die Vorinstanz erwog, damit sei die Zahlung dem Jahr 2020 bzw. der Arbeitsleistung dieses einen Jahres zuzuordnen gewesen, während die von der Beschwerdeführerin vorgenommenen Aufteilung über die Zeitperiode Februar 2020 bis Januar 2023 keine Stütze in den Akten finde. Damit sei der ab April 2022 aufgrund dieser Aktienzuteilung angerechnete Zwischenverdienst zu Unrecht erfolgt.</w:t>
      </w:r>
    </w:p>
    <w:p>
      <w:r>
        <w:rPr>
          <w:b/>
        </w:rPr>
        <w:t>E. 6.2</w:t>
      </w:r>
    </w:p>
    <w:p>
      <w:r>
        <w:t>Die Frage, welche Rechtsnatur der im Bonusplan vereinbarten Vergütung zukommt, ist auf dem Weg der Vertragsauslegung zu beantworten. Grundlage für die rechtliche Qualifikation einer Vertragsbestimmung bildet deren Inhalt. Ziel der Vertragsauslegung ist es, in erster Linie den übereinstimmenden wirklichen Willen der Parteien festzustellen (vgl. Art. 18 Abs. 1 OR ). Lässt sich dieser feststellen, so ist das Bundesgericht daran gebunden ( Art. 105 BGG ; BGE 144 III 43 E. 3.3; 132 III 626 E. 3.1 mit Verweisen). 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Gerichts über die äusseren Umstände sowie das Wissen und Wollen der Beteiligten grundsätzlich gebunden ist. Massgebend ist dabei der Zeitpunkt des Vertragsabschlusses ( BGE 144 III 93 E. 5.2.3; 133 III 61 E. 2.2.1). Nachträgliches Parteiverhalten ist bei der Auslegung nach dem Vertrauensprinzip nicht von Bedeutung; es kann höchstens - im Rahmen der Beweiswürdigung - auf einen tatsächlichen Willen der Parteien schliessen lassen ( BGE 132 III 626 E. 3.1 mit Hinweisen).</w:t>
      </w:r>
    </w:p>
    <w:p>
      <w:r>
        <w:t>Bei der Auslegung nach dem Vertrauensprinzip ist zwar primär vom Wortlaut der Erklärung auszugehen. Deren einzelne Teile sind jedoch nicht isoliert, sondern aus ihrem konkreten Sinngefüge heraus zu beurteilen ( BGE 146 V 28 E. 3.2; 142 III 671 E. 3.3; 140 III 391 E. 2.3). Die Erklärungen der Parteien sind so auszulegen, wie sie nach ihrem Wortlaut und Zusammenhang sowie den gesamten Umständen verstanden werden durften und mussten ( BGE 146 V 28 E. 3.2; 145 III 365 E. 3.2.1; 144 III 327 E. 5.2.2.1). Daraus kann sich ergeben, dass der Empfänger einzelne Aussagen des Erklärenden nicht in ihrer wörtlichen Bedeutung verstehen durfte, sondern in einem anderen Sinne auffassen musste (vgl. BGE 133 III 61 E. 2.2.1; 131 III 280 E. 3.1). Zudem hat das Gericht zu berücksichtigen, was sachgerecht ist, weil nicht anzunehmen ist, dass die Parteien eine unangemessene Lösung gewollt haben ( BGE 144 III 327 E. 5.2.2.1; 126 III 119 E. 2c).</w:t>
      </w:r>
    </w:p>
    <w:p>
      <w:r>
        <w:rPr>
          <w:b/>
        </w:rPr>
        <w:t>E. 6.3</w:t>
      </w:r>
    </w:p>
    <w:p>
      <w:r>
        <w:t>Was die Beschwerdeführerin gegen die vorinstanzlichen Erwägungen vorbringt, vermag diese nicht als bundesrechtswidrig erscheinen zu lassen. Auch wenn es sich bei der Mitarbeiterbindung um einen Teilzweck des LTI-Planes handeln mag, so ist doch die Feststellung der Vorinstanz, dass es sich bei ihm nicht um eine Abgeltung für die während der Vesting-Periode erbrachten Arbeitsleistung des Begünstigten handelt, nicht offensichtlich unrichtig. Vielmehr durfte sie willkürfrei annehmen, dass durch die Zuteilung der Aktien die Leistung vor dem bzw. im Zeitpunkt des Entstehens des Anspruchs, hier also im Jahr 2020 abgegolten werden sollte. Daran ändert auch die Ausgestaltung der Vergütung als LTI-Plan nichts. Dieser ist in dem Sinne langfristig angelegt, als durch ihn verhindert werden soll, dass der Begünstigte ein Interesse an einem kurzfristigen Aufblähen des Aktienkurses im Zuteilungszeitpunkt haben könnte. Ein solches steht offenkundig nicht im Interesse der Gesellschaft; mit der Ausgestaltung der Vergütung als LTI-Plan sollte ein Anreiz gesetzt werden, damit sich der Begünstigte nicht an der kurzfristigen Entwicklung des Aktienkurses, sondern an den langfristigen Zielen der Gesellschaft orientiert.</w:t>
      </w:r>
    </w:p>
    <w:p>
      <w:r>
        <w:rPr>
          <w:b/>
        </w:rPr>
        <w:t>E. 6.4</w:t>
      </w:r>
    </w:p>
    <w:p>
      <w:r>
        <w:t>Durfte die Vorinstanz, ohne damit Bundesrecht zu verletzten, davon ausgehen, dass es sich bei der in der Lohnabrechnung Februar 2023 ausgewiesenen Aktienzuteilung im Wert von Fr. 156'819.26 um Lohn für im Jahre 2020 erbrachte Arbeitsleistungen handelte, so ist der kantonale Entscheid nicht zu beanstanden. Die Beschwerde ist demnach abzuweisen.</w:t>
      </w:r>
    </w:p>
    <w:p>
      <w:r>
        <w:rPr>
          <w:b/>
        </w:rPr>
        <w:t>E. 7</w:t>
      </w:r>
    </w:p>
    <w:p>
      <w:r>
        <w:t>Dem Ausgang des Verfahrens entsprechend sind die Gerichtskosten der Beschwerdeführerin aufzuerlegen ( Art. 66 Abs. 1 BGG ). Damit wird das Gesuch des Beschwerdegegners um unentgeltliche Rechtspflege im Sinne der Befreiung von den Gerichtskosten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