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8C_261/2019 vom 8. Juli 2019</w:t>
      </w:r>
    </w:p>
    <w:p>
      <w:r>
        <w:t>Bundesgericht, 2019-07-08, DE</w:t>
      </w:r>
    </w:p>
    <w:p>
      <w:r>
        <w:rPr>
          <w:b/>
        </w:rPr>
        <w:t xml:space="preserve">Quelle: </w:t>
      </w:r>
      <w:r>
        <w:t>https://mcp.opencaselaw.ch/entscheid/bger_8C_261_2019</w:t>
      </w:r>
    </w:p>
    <w:p>
      <w:r>
        <w:t>FR: TF 8C_261/2019 du 8 juillet 2019</w:t>
      </w:r>
    </w:p>
    <w:p>
      <w:r>
        <w:t>IT: TF 8C_261/2019 del 8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Aufgrund der Vorbringen der Beschwerdeführerin ist einzig zu prüfen, ob die Vorinstanz Bundesrecht verletzt hat, indem sie die Einstellung der Versicherungsleistungen per 16. September 2016 schützte, ohne einen weitergehenden Leistungsanspruch unter Berücksichtigung der Rechtsprechung gemäss BGE 141 V 281 zu prüfen.</w:t>
      </w:r>
    </w:p>
    <w:p>
      <w:r>
        <w:rPr>
          <w:b/>
        </w:rPr>
        <w:t>E. 3</w:t>
      </w:r>
    </w:p>
    <w:p>
      <w:r>
        <w:t>Die Zusprechung von Leistungen der obligatorischen Unfallversicherung setzt grundsätzlich einen Berufsunfall, einen Nichtberufsunfall oder eine Berufskrankheit voraus ( Art. 6 Abs. 1 UVG ). Der Unfallversicherer haftet jedoch für einen Gesundheitsschaden nur insoweit, als dieser nicht nur in einem natürlichen, sondern auch in einem adäquaten Kausalzusammenhang zum versicherten Ereignis steht ( BGE 142 V 435 E. 1 S. 438;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 BGE 138 V 248 E. 5.1 S. 251; Urteil 8C_387/2018 vom 16. November 2018 E. 3.3).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heranzuziehen ( BGE 134 V 109 E. 2.1 S. 111 f.). Wird die Unfallkausalität bejaht, sind für die Beurteilung der invalidisierenden Wirkung einer spezifischen HWS-Verletzung ohne organisch nachweisbare Funktionsausfälle die in BGE 130 V 352 , später in BGE 141 V 281 entwickelten Kriterien analog anzuwenden (vgl. BGE 141 V 574 ; unter der alten Rechtsprechung: BGE 136 V 279 E. 3.2.3 S. 283 in Verbindung mit 141 V 281 E. 4.2 S. 298).</w:t>
      </w:r>
    </w:p>
    <w:p>
      <w:r>
        <w:rPr>
          <w:b/>
        </w:rPr>
        <w:t>E. 4.1</w:t>
      </w:r>
    </w:p>
    <w:p>
      <w:r>
        <w:t>Die Vorinstanz erwog, dass zum Zeitpunkt der Leistungseinstellung am 1. September 2016 keine namhafte Besserung des Gesundheitszustands durch Fortsetzung der ärztlichen Behandlung zu erwarten gewesen sei, so dass die Beschwerdegegnerin zu Recht den Fall abgeschlossen habe. Sodann verneinte sie mit Blick auf die im Vordergrund stehende HWS-Distorsion gestützt auf die Schleudertrauma-Rechtsprechung ( BGE 134 V 109 ) einen adäquaten Kausalzusammenhang zwischen dem Unfall vom 29. Januar 2015 und einer (allfälligen) Arbeitsunfähigkeit für die über den 1. September 2016 hinaus geklagten Beschwerden. Dabei qualifizierte sie den Unfall, wie auch die Beschwerdegegnerin zuvor, als mittelschweren Unfall im Grenzbereich zu den leichten Unfällen, höchstens aber als mittelschweren Unfall im engeren Bereich. Nach Prüfung der adäquanzrelevanten Kriterien ( BGE 134 V 109 , zusammengefasst unter E. 10.3 S. 130) bejahte sie lediglich jenes der Dauerbeschwerden, wobei es nicht in auffallender oder besonders ausgeprägter Weise vorliege. Da die Vorinstanz die Adäquanz verneint hatte, hätte sie die Frage eines natürlichen Kausalzusammenhangs praxisgemäss offen lassen können ( BGE 135 V 465 E. 5.1 S. 472). Sie prüfte sie im Anschluss dennoch und stellte gestützt auf die Aktenberichte des Dr. med. D.________ vom 22. August und 25. Oktober 2017 sowie die damit korrelierende Bildgebung fest, dass die von der Beschwerdeführerin über den 1. September 2016 hinaus geklagten Beschwerden nicht mehr unfallbedingt, sondern degenerativer Natur seien.</w:t>
      </w:r>
    </w:p>
    <w:p>
      <w:r>
        <w:rPr>
          <w:b/>
        </w:rPr>
        <w:t>E. 4.2</w:t>
      </w:r>
    </w:p>
    <w:p>
      <w:r>
        <w:t>Die Beschwerdeführerin bestreitet den Zeitpunkt des Fallabschlusses nicht. Sie vertritt jedoch die Ansicht, die Berichte des Dr. med. D.________ seien nicht verwertbar, da sie nicht unter Anwendung des strukturierten Beweisverfahrens erstellt worden seien. Nach der neuen Rechtsprechung sei ein adäquater Kausalzusammenhang auch bei leichten depressiven Störungen zu bejahen, wenn sich im Rahmen der ressourcenorientierten Begutachtung herausstelle, dass die diagnostizierte gesundheitliche Störung sich als natürliche Folge des erlittenen Unfalls entwickelt habe.</w:t>
      </w:r>
    </w:p>
    <w:p>
      <w:r>
        <w:rPr>
          <w:b/>
        </w:rPr>
        <w:t>E. 4.3.1</w:t>
      </w:r>
    </w:p>
    <w:p>
      <w:r>
        <w:t>Der Beschwerdeführerin ist insofern beizupflichten, als grundsätzlich sämtliche psychischen Gesundheitsschäden im Hinblick auf ihre Auswirkungen auf das funktionelle Leistungsvermögen einem strukturierten Beweisverfahren nach BGE 141 V 281 zu unterziehen sind ( BGE 143 V 418 ). Dies gilt aus Gründen der Rechtsgleichheit gleichermassen und ungeachtet ihres allenfalls organischen Charakters für die Beurteilung der invalidisierenden Wirkung einer spezifischen HWS-Verletzung ohne organisch nachweisbare Funktionsausfälle (vgl. BGE 141 V 574 ; vgl. bereits 136 V 279 E. 3.2.3 S. 283 noch unter der damals geltenden Überwindbarkeitspraxis gemäss BGE 130 V 352 ). Im Gegensatz zur Invalidenversicherung, die als finale Versicherung im Leistungsbereich zentral auf die Folgenabschätzung des Gesundheitsschadens ausgerichtet ist, wird in der obligatorischen Unfallversicherung vorausgesetzt, dass zwischen dem Unfall und dem Letzteren ein natürlicher und (bei nicht organisch objektiv ausgewiesenen Beschwerden besonders zu prüfender, vgl. BGE 138 V 248 E. 4 S. 251) adäquater Kausalzusammenhang besteht (vgl. E. 3 hiervor). Kausalzusammenhang ( Art. 6 Abs. 1 UVG ) und Einschränkung des funktionellen Leistungsvermögens bzw. Invalidität ( Art. 8 Abs. 1 ATSG i.V.m. Art. 18 UVG ) stellen verschiedene Anspruchsvoraussetzungen dar und ziehen ganz andere Fragen mit je unterschiedlichem Abklärungs- bzw. Prüfungsbedarf nach sich. Daher hat das Bundesgericht kürzlich festgehalten, dass das strukturierte Beweisverfahren nicht darauf angelegt ist, den Nachweis eines natürlichen Kausalzusammenhanges zu erbringen (Urteil 8C_181/2019 vom 2. Mai 2019 E. 5.2). Dementsprechend verfolgt die kriteriengestützte, rein normative Adäquanzprüfung eine andere Zielrichtung, nämlich jene der Haftungsbegrenzung (vgl. hiervor E. 3), als die indikatorengeleitete Beurteilung der Leistungsfähigkeit im Rahmen des strukturierten Beweisverfahrens. Daran ändert nichts, dass dabei teilweise auf identische Sachverhaltselemente abgestellt wird und sich bei einzelnen Kriterien und Indikatoren gewisse Überschneidungen zeigen mögen (vgl. Thomas Gächter, Funktion und Kriterien der Adäquanz im Sozialversicherungsrecht, Personen-Schaden-Forum 2016, S. 36 f.). Wenn es darum mit der Verneinung der natürlichen und adäquaten Kausalität bereits an dieser wesentlichen Leistungsvoraussetzung fehlt, besteht kein Bedarf zur Bemühung eines strukturierten Beweisverfahrens (vgl. BGE 141 V 574 E. 5.2 a.E. S. 582; Kaspar Gehring, in Frey/Mosimann/Bollinger [Hrsg.]: AHVG-IVG, 2018, N. 58 zu Art. 4 ATSG ).</w:t>
      </w:r>
    </w:p>
    <w:p>
      <w:r>
        <w:rPr>
          <w:b/>
        </w:rPr>
        <w:t>E. 4.3.2</w:t>
      </w:r>
    </w:p>
    <w:p>
      <w:r>
        <w:t>Da die Vorinstanz sowohl den natürlichen als auch den adäquaten Kausalzusammenhang verneinte, was der Beschwerdeführer nicht substanziiert bestreitet (vgl. zur Rügepflicht E. 1.1), ist nicht zu beanstanden, dass sie das Vorliegen einer Invalidität ( Art. 8 Abs. 1 ATSG i.V.m. Art. 18 UVG ) nicht weiter prüfte. Die Beschwerde ist unbegründet und demnach abzuweisen.</w:t>
      </w:r>
    </w:p>
    <w:p>
      <w:r>
        <w:rPr>
          <w:b/>
        </w:rPr>
        <w:t>E. 5</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