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260/2008 vom 29. September 2008</w:t>
      </w:r>
    </w:p>
    <w:p>
      <w:r>
        <w:t>Bundesgericht, 2008-09-29, DE</w:t>
      </w:r>
    </w:p>
    <w:p>
      <w:r>
        <w:rPr>
          <w:b/>
        </w:rPr>
        <w:t xml:space="preserve">Quelle: </w:t>
      </w:r>
      <w:r>
        <w:t>https://mcp.opencaselaw.ch/entscheid/bger_8C_260_2008</w:t>
      </w:r>
    </w:p>
    <w:p>
      <w:r>
        <w:t>FR: TF 8C 260/2008 du 29 septembre 2008</w:t>
      </w:r>
    </w:p>
    <w:p>
      <w:r>
        <w:t>IT: TF 8C 260/2008 del 29 settembre 2008</w:t>
      </w:r>
    </w:p>
    <w:p>
      <w:pPr>
        <w:pStyle w:val="Heading2"/>
      </w:pPr>
      <w:r>
        <w:t>Regeste</w:t>
      </w:r>
    </w:p>
    <w:p>
      <w:r>
        <w:t>Unfallversicherung | Unfallversicherung</w:t>
      </w:r>
    </w:p>
    <w:p>
      <w:pPr>
        <w:pStyle w:val="Heading2"/>
      </w:pPr>
      <w:r>
        <w:t>Erwägungen</w:t>
      </w:r>
    </w:p>
    <w:p>
      <w:r>
        <w:rPr>
          <w:b/>
        </w:rPr>
        <w:t>E. 1.1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161 E. 2.1 S. 164, 125 V 413 E. 1a S. 414, 119 Ib 33 E. 1b S. 36, je mit Hinweisen).</w:t>
      </w:r>
    </w:p>
    <w:p>
      <w:r>
        <w:rPr>
          <w:b/>
        </w:rPr>
        <w:t>E. 1.2</w:t>
      </w:r>
    </w:p>
    <w:p>
      <w:r>
        <w:t>Die Zürich hat die nach dem Unfall vom 13. Januar 2003 ausgerichteten Taggeldleistungen nach Wiedererlangung der vollständigen Arbeitsfähigkeit ab 28. März 2003 formlos eingestellt (vgl. die an das Hotel W.________ adressierte Schlussabrechnung vom 15. April 2003 sowie den Unfallschein UVG des Dr. K.________). Wohl hat die Zürich im Einspracheentscheid vom 26. September 2006 und in der Verfügung vom 1. Februar 2006 wiederholt die Ausdrücke "Leistungspflicht" und "Leistungseinstellung" erwähnt, woraus geschlossen werden könnte, dass sie auch einen allenfalls weiter geltend gemachten Taggeldanspruch beurteilte. Indessen steht aufgrund der Akten fest, dass im Zeitraum bis zum Erlass der Verfügung vom 1. Februar 2006 ein Anspruch auf weitere Taggeldleistungen oder auf Invalidenrente und Integritätsentschädigung nie zur Diskussion stand. Die Zürich hat denn auch den Versicherten am Schluss der Verfügung vom 1. Februar 2006 daran erinnert, sich bezüglich Übernahme der Heilungskosten an die Krankenversicherung zu wenden. Gemäss Wortlaut des im kantonalen wie auch im letztinstanzlichen Verfahren gestellten (Haupt)begehrens will der Beschwerdeführer anscheinend den Anfechtungs- und Streitgegenstand über den beurteilten Anspruch auf Heilbehandlung hinaus ausdehnen. Hiefür geben jedoch weder die Aktenlage noch der Einsprache- oder vorinstanzliche Entscheid Anlass.</w:t>
      </w:r>
    </w:p>
    <w:p>
      <w:r>
        <w:rPr>
          <w:b/>
        </w:rPr>
        <w:t>E. 1.3</w:t>
      </w:r>
    </w:p>
    <w:p>
      <w:r>
        <w:t>Nach dem Gesagten ist einzig zu prüfen, ob der Beschwerdeführer über den 1. Dezember 2005 hinaus Anspruch auf Heilbehandlung ( Art. 10 Abs. 1 UVG ) hat.</w:t>
      </w:r>
    </w:p>
    <w:p>
      <w:r>
        <w:rPr>
          <w:b/>
        </w:rPr>
        <w:t>E. 2.1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2.2</w:t>
      </w:r>
    </w:p>
    <w:p>
      <w:r>
        <w:t>Nach Art. 97 Abs. 2 BGG kann jede unrichtige oder unvollständige Feststellung des rechtserheblichen Sachverhalts gerügt werden, wenn sich die Beschwerde gegen einen Entscheid über die Zusprechung oder Verweigerung von Geldleistungen der Militär- oder Unfallversicherung richtet. Geldleistungen sind insbesondere Taggelder, Renten, jährliche Ergänzungsleistungen und Zulagen zu solchen ( Art. 14 ATSG ; vgl. Rudolf Ursprung/Petra Fleischanderl in: Festschrift 100 Jahre Aargauischer Anwaltsverband, Aargauischer Juristenverein [Hrsg.], 2005, S. 426; Basler Kommentar, Niggli/Übersax/Wiprächtiger [Hrsg.], Bundesgerichtsgesetz, S. 959 sowie 1037). Als Sachleistung gilt gemäss Art. 13 ATSG unter anderem die Heilbehandlung nach Art. 10 UVG (vgl. Ursprung/Fleischanderl und Basler Kommentar a.a.O.).</w:t>
      </w:r>
    </w:p>
    <w:p>
      <w:r>
        <w:rPr>
          <w:b/>
        </w:rPr>
        <w:t>E. 2.3</w:t>
      </w:r>
    </w:p>
    <w:p>
      <w:r>
        <w:t>Da einzig eine Sachleistung (Heilbehandlung nach Art. 10 UVG ) streitig ist, hat das Bundesgericht die Sache nach den in E. 2.1 hievor erwähnten verfahrensrechtlichen Regeln zu prüfen.</w:t>
      </w:r>
    </w:p>
    <w:p>
      <w:r>
        <w:rPr>
          <w:b/>
        </w:rPr>
        <w:t>E. 3.1</w:t>
      </w:r>
    </w:p>
    <w:p>
      <w:r>
        <w:t>Der Beschwerdeführer bringt vor, die Feststellung des kantonalen Gerichts, hinsichtlich des Unfalles vom 13. Januar 2003 sei von einer "Situation" auszugehen, die zuerst verbal eskalierte, sei unrichtig. Zudem sei nicht zutreffend, dass der ihn attackierende Mitarbeiter den Schraubenzieher bloss leicht fuchtelnd eingesetzt habe. Schliesslich könne entgegen der vorinstanzlichen Annahme nicht von laufenden Fortschritten in der Verarbeitung des psychischen Traumas gesprochen werden.</w:t>
      </w:r>
    </w:p>
    <w:p>
      <w:r>
        <w:rPr>
          <w:b/>
        </w:rPr>
        <w:t>E. 3.2</w:t>
      </w:r>
    </w:p>
    <w:p>
      <w:r>
        <w:t>Laut Polizeirapport vom 20. Februar 2003 sowie Überweisungsverfügung des Verhöramtes vom 8. Juli 2004, ist den tätlichen Angriffen des Mitarbeiters ein Disput wegen eines Gerüchtes, das der Versicherte verbreitet haben soll, vorausgegangen. Sodann ist den im angefochtenen Entscheid zitierten Auskünften des behandelnden Psychiaters Dr. T.________ (vgl. Berichte vom 13. März und 2. September sowie 26. Februar 2004) sowie der Ergotherapeutin Frau mag. S.________ (vgl. Berichte vom 15. November 2004 und 31. August 2005) zu entnehmen, dass die posttraumatischen psychischen Beeinträchtigungen des Beschwerdeführers erheblich verbessert werden konnten. Angesichts dieser Unterlagen ist nicht ersichtlich, inwiefern die Vorinstanz den Sachverhalt offensichtlich unrichtig oder in Verletzung wesentlicher Verfahrensbestimmungen festgestellt haben soll. Allerdings trifft zu, dass der attackierende Mitarbeiter mit dem Schraubenzieher nicht nur herumfuchtelte, sondern damit auf den Versicherten einstach und ihm leichte Verletzungen zufügte (vgl. den erwähnten Polizeirapport und die zitierte Überweisungsverfügung). Der Beschwerdeführer legt aber nicht dar, inwiefern die diesbezügliche unrichtige Sachverhaltsfestellung der Vorinstanz einen Mangel begründet, dessen Behebung für den Ausgang des Verfahrens entscheidend sein kann. Mit dem kantonalen Gericht, auf dessen Erwägungen verwiesen wird, ist insgesamt der adäquate Kausalzusammenhang zwischen dem Unfall vom 13. Januar 2003 und den über den Zeitpunkt der Leistungseinstellung ab 1. Dezember 2005 hinaus geltend gemachten psychischen Beeinträchtigungen zu verneinen.</w:t>
      </w:r>
    </w:p>
    <w:p>
      <w:r>
        <w:rPr>
          <w:b/>
        </w:rPr>
        <w:t>E. 4.1</w:t>
      </w:r>
    </w:p>
    <w:p>
      <w:r>
        <w:t>Bei diesem Verfahrensausgang ist der unterliegende Beschwerdeführer kostenpflichtig ( Art. 66 Abs. 1 BGG ).</w:t>
      </w:r>
    </w:p>
    <w:p>
      <w:r>
        <w:rPr>
          <w:b/>
        </w:rPr>
        <w:t>E. 4.2</w:t>
      </w:r>
    </w:p>
    <w:p>
      <w:r>
        <w:t>Die anwaltlich vertretene obsiegende Zürich beantragt für das bundesgerichtliche Verfahren eine Parteientschädigung (vgl. Vernehmlassung der Zürich, deren Rechtsbegehren mit der Formulierung "unter Kosten- und Entschädigungsfolge" schliesst). Gemäss Art. 68 Abs. 3 BGG wird unter anderem mit öffentlich-rechtlichen Aufgaben betrauten Organisationen in der Regel keine Parteientschädigung zugesprochen, wenn sie in ihrem amtlichen Wirkungskreis obsiegen. Bei der Zürich handelt es sich um eine öffentlich-rechtliche Organisation, soweit sie Aufgaben im Bereich der obligatorischen Unfallversicherung erfüllt (vgl. zu Art. 159 Abs. 2 alt OG: BGE 121 V 356 E. 6 S. 361 mit Hinweisen). Die Zürich obsiegt vorliegend in ihrem amtlichen Wirkungskreis. Im Unterschied zu Art. 66 Abs. 4 BGG , worin die Verlegung der Gerichtskosten geregelt wird, enthält Art. 68 Abs. 3 BGG keine Sonderregel für den (hier grundsätzlich vorliegenden) Fall, dass Vermögensinteressen im Spiel stehen. Damit fragt sich einzig, ob eine Ausnahme vom grundsätzlichen ("in der Regel") Ausschluss einer Parteientschädigung greift. Die Beschwerdegegnerin begründet ihren Antrag jedoch nicht und macht nicht geltend, weshalb ihr ausnahmsweise eine Parteientschädigung zuzusprechen wäre. Entsprechende Gründe sind im Übrigen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