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260/2007 vom 31. Oktober 2007</w:t>
      </w:r>
    </w:p>
    <w:p>
      <w:r>
        <w:t>Bundesgericht, 2007-10-31, DE</w:t>
      </w:r>
    </w:p>
    <w:p>
      <w:r>
        <w:rPr>
          <w:b/>
        </w:rPr>
        <w:t xml:space="preserve">Quelle: </w:t>
      </w:r>
      <w:r>
        <w:t>https://mcp.opencaselaw.ch/entscheid/bger_8C_260_2007</w:t>
      </w:r>
    </w:p>
    <w:p>
      <w:r>
        <w:t>FR: TF 8C 260/2007 du 31 octobre 2007</w:t>
      </w:r>
    </w:p>
    <w:p>
      <w:r>
        <w:t>IT: TF 8C 260/2007 del 31 ottobre 2007</w:t>
      </w:r>
    </w:p>
    <w:p>
      <w:pPr>
        <w:pStyle w:val="Heading2"/>
      </w:pPr>
      <w:r>
        <w:t>Regeste</w:t>
      </w:r>
    </w:p>
    <w:p>
      <w:r>
        <w:t>Unfallversicherung | Unfallversicherung</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Die Vorinstanz ist unter Würdigung der massgebenden ärztlichen Berichte (insbesondere des Austrittsberichts vom 15. Oktober 2006 und der durchgeführten Konsilien der Rehaklinik X.________ sowie der Berichte des Dr. med. W.________, Röntgeninstitut, vom 25. Juli 2003, der PD Dr. med. K.________, Leitende Ärztin, Radiologisches Institut, Spital Y.________, vom 6. Oktober 2003 und des Dr. med. E.________, Facharzt für Neurologie, vom 1. Februar 2005) zum Ergebnis gelangt, dass die zum typischen Beschwerdebild eines Schleudertraumas der Halswirbelsäule gehörenden Beeinträchtigungen zwar teilweise gegeben sind, von der ausgeprägten psychischen Problematik aber in den Hintergrund gedrängt werden. Demzufolge hat sie den adäquaten Kausalzusammenhang zu Recht in Anwendung der Rechtsprechung von BGE 123 V 98 im Rahmen der Adäquanz bei psychischen Unfallfolgen ( BGE 115 V 133 ) geprüft. Rechtsprechungsgemäss ist der Unfall vom 10. Mai 2003 dem mittleren Bereich zuzuordnen, sodass für die Bejahung des adäquaten Kausalzusammenhangs ein Kriterium in besonders ausgeprägter Weise oder mehrere Kriterien in gehäufter oder auffallender Weise gegeben sein müssen. Dies ist vorliegend nicht der Fall: Der Unfall vom 10. Mai 2003 hat sich weder unter besonders dramatischen Umständen ereignet noch war er von besonderer Eindrücklichkeit. Der Versicherte hat beim Unfall weder schwere Verletzungen noch Verletzungen besonderer Art erlitten, insbesondere keine, die geeignet wären, eine psychische Fehlentwicklung auszulösen. Die vom Beschwerdeführer geklagten Dauerschmerzen beruhen nicht auf einem somatischen Korrelat, sodass sie für die vorliegende Beurteilung nicht zu berücksichtigen sind. Eine ärztliche Fehlbehandlung ist ebenso zu verneinen wie ein schwieriger Heilungsverlauf oder erhebliche Komplikationen. Das Kriterium von Grad und Dauer der Arbeitsunfähigkeit ist ebenfalls nicht erfüllt, da die andauernde Arbeitsunfähigkeit nicht physisch bedingt ist. Vorinstanz und Verwaltung haben somit die weitere Leistungspflicht der SUVA zu Recht abgelehnt. An diesem Ergebnis ändern auch die letztinstanzlich erstmals eingereichten Berichte des Prof. Dr. med. S.________, Facharzt für Physikalische Medizin und Rehabilitation, vom 27. November 2006 und der Neurologischen Klinik und Poliklinik, Spital Z.________, vom 18. April 2007 nichts. Denn die festgestellte Enuresis hat gemäss Bericht des Spitals Z.________ keine physische Grundlage, sondern ist psychogener Natur. Vor allem aber vermögen die Zweifel des Prof. Dr. med. S.________ an der von verschiedenen Ärzten diagnostizierten somatoformen Schmerzstörung den im Rahmen der polydisziplinären Abklärung in der Rehaklinik X.________ sich ergebenden funktionellen Charakter der Beschwerden nicht zu erschüttern, zumal er in seinem Anhang ein sich nicht bei den Akten befindliches Gutachten des ZMB vom 16. Februar 2006 zusammenfasst, gemäss welchem die körperlichen Symptome psychische Gründe haben und eine psychogene Schmerzfehlverarbeitung vorliege. Somit kann offen bleiben, ob diese beiden Berichte im Rahmen der Kognition nach Art. 97 Abs. 2 BGG als unzulässige Noven im Sinne von Art. 99 Abs. 1 BGG zu gelten haben.</w:t>
      </w:r>
    </w:p>
    <w:p>
      <w:r>
        <w:rPr>
          <w:b/>
        </w:rPr>
        <w:t>E. 3</w:t>
      </w:r>
    </w:p>
    <w:p>
      <w:r>
        <w:t>Die Beschwerde ist offensichtlich unbegründet, weshalb sie im Verfahren nach Art. 109 BGG , insbesondere ohne Durchführung eines Schriftenwechsels und mit summarischer Begründung, erledigt wird.</w:t>
      </w:r>
    </w:p>
    <w:p>
      <w:r>
        <w:rPr>
          <w:b/>
        </w:rPr>
        <w:t>E. 4</w:t>
      </w:r>
    </w:p>
    <w:p>
      <w:r>
        <w:t>Als unterliegende Partei hat der Versicherte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