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259/2019 vom 14. Oktober 2019</w:t>
      </w:r>
    </w:p>
    <w:p>
      <w:r>
        <w:t>Bundesgericht, 2019-10-14, DE</w:t>
      </w:r>
    </w:p>
    <w:p>
      <w:r>
        <w:rPr>
          <w:b/>
        </w:rPr>
        <w:t xml:space="preserve">Quelle: </w:t>
      </w:r>
      <w:r>
        <w:t>https://mcp.opencaselaw.ch/entscheid/bger_8C_259_2019</w:t>
      </w:r>
    </w:p>
    <w:p>
      <w:r>
        <w:t>FR: TF 8C 259/2019 du 14 octobre 2019</w:t>
      </w:r>
    </w:p>
    <w:p>
      <w:r>
        <w:t>IT: TF 8C 259/2019 del 14 ottobre 2019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2.1</w:t>
      </w:r>
    </w:p>
    <w:p>
      <w:r>
        <w:t>Mit Beschluss vom 29. Januar 2019 stellte die Vorinstanz der Beschwerdeführerin in Aussicht, die zugesprochene Dreiviertelsrente aufzuheben und räumte ihr praxisgemäss Gelegenheit zur Stellungnahme ein. Sie machte sie ferner darauf aufmerksam, dass sie die reformatio in peius mittels Rückzug ihrer Beschwerde abwenden könne. Mit Eingabe vom 28. Februar 2019 hielt die Versicherte an der Beschwerde fest und änderte das Rechtsbegehren dahingehend, dass namentlich weitere Abklärungen zu tätigen seien. Mit Entscheid vom 11. März 2019 wies schliesslich das Versicherungsgericht die Beschwerde, die auf eine ganze statt auf eine Dreiviertelsrente abzielte, lediglich ab, ohne die Rente aufzuheben.</w:t>
      </w:r>
    </w:p>
    <w:p>
      <w:r>
        <w:rPr>
          <w:b/>
        </w:rPr>
        <w:t>E. 2.2</w:t>
      </w:r>
    </w:p>
    <w:p>
      <w:r>
        <w:t>Aus der vorinstanzlichen Vernehmlassung sowie den Erwägungen des angefochtenen Entscheids ergibt sich jedoch klar, dass das kantonale Gericht beabsichtigte, die rentenzusprechende Verfügung vom 12. Juli 2017 aufzuheben. Somit ist streitig und zu prüfen, ob die Vorinstanz Bundesrecht verletzte, indem sie die Dreiviertelsrente per 1. Dezember 2015 aufhob.</w:t>
      </w:r>
    </w:p>
    <w:p>
      <w:r>
        <w:rPr>
          <w:b/>
        </w:rPr>
        <w:t>E. 3.1</w:t>
      </w:r>
    </w:p>
    <w:p>
      <w:r>
        <w:t>In materiellrechtlicher Hinsicht mass die Vorinstanz dem ABI-Gerichtsgutachten vom 6. November 2018 volle Beweiskraft zu. Ferner erwog sie, die Arbeits- und Erwerbsfähigkeit der Beschwerdeführerin sei zwar im massgeblichen Zeitraum von Dezember 2015 bis Juli 2017 wegen des Medikamenten- und Benzodiazepinkonsums sowie einer "gewissen" depressiven Problematik in einem nicht sicher bestimmbaren Ausmass eingeschränkt gewesen. Nach der Rechtsprechung würden aber Suchterkrankungen (Drogensucht, Alkoholismus und Medikamentenmissbrauch) als solche nicht zu einer Invalidität im Sinne des Gesetzes führen. Mit Hinweis auf die Rechtsprechung für Suchterkrankungen ( BGE 124 V 265 E. 3c S. 268), kam sie allerdings zum Schluss, die Voraussetzungen für die Annahme einer invalidisierenden Suchterkrankung seien nicht erfüllt. Sie befand weiter, der Gesundheitszustand der Beschwerdeführerin habe sich durch den stattgefundenen Entzug verbessert. Da die Suchtproblematik bei der Beurteilung der Arbeits- und Erwerbsunfähigkeit auszuklammern sei und das depressive Geschehen retrospektiv sich nicht auf die Arbeits-und Erwerbsfähigkeit auswirke, sei von einer vollständigen Arbeitsfähigkeit in der angestammten Tätigkeit als Taxifahrerin oder einer anderen leidensangepassten Tätigkeit zwischen Dezember 2015 und Juli 2017 auszugehen. In revisionsrechtlicher Hinsicht hielt sie im Übrigen fest, es bestehe keine wesentliche Veränderung des Gesundheitszustands, so dass das Rentenbegehren abzuweisen und die am 12. Juli 2017 verfügte Rentenzusprache aufzuheben sei.</w:t>
      </w:r>
    </w:p>
    <w:p>
      <w:r>
        <w:rPr>
          <w:b/>
        </w:rPr>
        <w:t>E. 3.2</w:t>
      </w:r>
    </w:p>
    <w:p>
      <w:r>
        <w:t>Die Beschwerdeführerin wirft der Vorinstanz hauptsächlich eine Verletzung des Untersuchungsgrundsatzes ( Art. 43 Abs. 1 ATSG in Verbindung mit Art. 61 lit. c ATSG ) vor. Sie macht geltend, mit dem asim-Gutachten und dem ABI-Gutachten würden zwei gleichwertige polydisziplinäre Gutachten vorliegen, die einander massiv widersprächen. Die Vorinstanz hätte es pflichtwidrig unterlassen, weitere notwendige medizinische Abklärungen vorzunehmen.</w:t>
      </w:r>
    </w:p>
    <w:p>
      <w:r>
        <w:rPr>
          <w:b/>
        </w:rPr>
        <w:t>E. 4</w:t>
      </w:r>
    </w:p>
    <w:p>
      <w:r>
        <w:t>Mit dem jüngst ergangenen, zur Publikation in der amtlichen Sammlung bestimmten Urteil 9C_724/2018 vom 11. Juli 2019 hat das Bundesgericht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kann und muss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willentlich den krankhaften Zustand aufrecht, sei nach Art. 7b Abs. 1 IVG i.V.m. Art. 21 Abs. 4 ATSG eine Verweigerung oder Kürzung der Leistungen möglich (E. 5.3.1).</w:t>
      </w:r>
    </w:p>
    <w:p>
      <w:r>
        <w:rPr>
          <w:b/>
        </w:rPr>
        <w:t>E. 5.1</w:t>
      </w:r>
    </w:p>
    <w:p>
      <w:r>
        <w:t>Diese neue Rechtsprechung ist auf alle im Zeitpunkt der Praxisänderung noch nicht erledigten Fälle anzuwenden (vgl. Urteil 8C_756/2017 vom 7. März 2018 E. 4 mit weiterem Hinweis) und somit auch im vorliegenden Fall massgebend.</w:t>
      </w:r>
    </w:p>
    <w:p>
      <w:r>
        <w:rPr>
          <w:b/>
        </w:rPr>
        <w:t>E. 5.2</w:t>
      </w:r>
    </w:p>
    <w:p>
      <w:r>
        <w:t>Die Vorinstanz hat in ihrem Entscheid, der vor dem massgeblichen Urteil vom 11. Juli 2019 erging, entsprechend der bisherigen Rechtsprechung nicht überprüft, ob das ABI-Gutachten den normativen Vorgaben von BGE 141 V 281 auch hinsichtlich des Suchtgeschehens genügte. Die Angelegenheit ist demzufolge an die Vorinstanz zurückzuweisen, damit sie dies nachholt und darauf gestützt neu entscheide.</w:t>
      </w:r>
    </w:p>
    <w:p>
      <w:r>
        <w:rPr>
          <w:b/>
        </w:rPr>
        <w:t>E. 6</w:t>
      </w:r>
    </w:p>
    <w:p>
      <w:r>
        <w:t>Die Rückweisung der Sache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137 V 210 E. 7.1 S. 271 je mit Hinweisen). Mithin hat die unterliegende IV-Stelle die Gerichtskosten zu tragen und der Beschwerdeführerin eine Parteientschädigung auszurichten, womit sich das Gesuch um unentgeltliche Rechtspflege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