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8C_258/2026 vom 7. Mai 2026</w:t>
      </w:r>
    </w:p>
    <w:p>
      <w:r>
        <w:t>Bundesgericht, 2026-05-07, FR</w:t>
      </w:r>
    </w:p>
    <w:p>
      <w:r>
        <w:rPr>
          <w:b/>
        </w:rPr>
        <w:t xml:space="preserve">Quelle: </w:t>
      </w:r>
      <w:r>
        <w:t>https://mcp.opencaselaw.ch/entscheid/bger_8C_258_2026</w:t>
      </w:r>
    </w:p>
    <w:p>
      <w:r>
        <w:t>FR: TF 8C_258/2026 du 7 mai 2026</w:t>
      </w:r>
    </w:p>
    <w:p>
      <w:r>
        <w:t>IT: TF 8C_258/2026 del 7 maggio 2026</w:t>
      </w:r>
    </w:p>
    <w:p>
      <w:pPr>
        <w:pStyle w:val="Heading2"/>
      </w:pPr>
      <w:r>
        <w:t>Erwägungen</w:t>
      </w:r>
    </w:p>
    <w:p>
      <w:r>
        <w:rPr>
          <w:b/>
        </w:rPr>
        <w:t>E. 1.1</w:t>
      </w:r>
    </w:p>
    <w:p>
      <w:r>
        <w:t>Selon l' art. 108 LTF , le président de la cour décide en procédure simplifiée de ne pas entrer en matière sur les recours dont la motivation est manifestement insuffisante (al. 1 let. b); il peut confier cette tâche à un autre juge (al. 2).</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2.1</w:t>
      </w:r>
    </w:p>
    <w:p>
      <w:r>
        <w:t>En l'espèce, les juges cantonaux ont retenu que le recourant ne travaillait pas dans un hôpital, un laboratoire, un institut de recherche ou un établissement analogue, de sorte qu'il n'était pas exposé au risque de contamination spécifique d'un poste de travail dangereux pour la santé. Les conditions de l' art. 9 al. 1 LAA n'étaient donc pas réunies. Les maladies infectieuses dont faisait partie le Covid-19 étant expressément mentionnées au ch. 2 let. b de l'annexe 1 OLAA (RS 832.202), l' art. 9 al. 2 LAA ne s'appliquait pas. Aussi, l'intimée avait refusé à juste titre de reconnaître l'existence d'une maladie professionnelle chez le recourant et de fournir des prestations.</w:t>
      </w:r>
    </w:p>
    <w:p>
      <w:r>
        <w:rPr>
          <w:b/>
        </w:rPr>
        <w:t>E. 2.2</w:t>
      </w:r>
    </w:p>
    <w:p>
      <w:r>
        <w:t>Dans son écriture, le recourant se plaint de ses problèmes de santé en lien avec son infection au Covid-19, qu'il impute à l'exercice de son activité professionnelle, et reproche à son employeur de l'avoir contraint à revenir travailler au bureau après une période de télétravail. Se présentant comme une personne vulnérable, il développe en outre toute une série de griefs à l'encontre des autorités étatiques et sanitaires, en affirmant notamment que le Covid-19 serait une arme biochimique créée en laboratoire. Ces critiques, purement appellatoires et en large partie sans pertinence pour le droit aux prestations litigieuses, sont irrecevables (cf. ATF 147 IV 73 consid. 4.1.2; 146 IV 114 consid. 2.1; 140 III 264 consid. 2.3). Pour le reste, le recours ne contient aucune critique à l'encontre de la motivation de la juridiction cantonale. Le recourant n'expose pas, même brièvement, en quoi l'acte attaqué violerait le droit, en particulier l' art. 9 LAA . Par ailleurs, sa conclusion tendant à ce que le Tribunal fédéral reconnaisse que le Covid-19 constitue une arme biochimique échappe à l'objet de la contestation, tel que délimité par la décision sur opposition du 25 juillet 2024 et l'arrêt entrepris, de sorte qu'elle est irrecevable. Le recours ne répond ainsi manifestement pas aux exigences de l' art. 42 al. 1 et 2 LTF .</w:t>
      </w:r>
    </w:p>
    <w:p>
      <w:r>
        <w:rPr>
          <w:b/>
        </w:rPr>
        <w:t>E. 2.3</w:t>
      </w:r>
    </w:p>
    <w:p>
      <w:r>
        <w:t>Au vu de ce qui précède, le recours doit être déclaré irrecevable selon la procédure simplifiée de l' art. 108 al. 1 let. b LTF .</w:t>
      </w:r>
    </w:p>
    <w:p>
      <w:r>
        <w:rPr>
          <w:b/>
        </w:rPr>
        <w:t>E. 3</w:t>
      </w:r>
    </w:p>
    <w:p>
      <w:r>
        <w:t>Au regard des circonstances, il convient de renoncer à percevoir des frais judiciaires (art. 66 al. 1seconde phrase, LTF), ce qui rend, sur ce point, sans objet la requête d'assistance judiciaire (cf. art. 64 al. 1 LTF ). Dans la mesure où celle-ci tend à la désignation d'un avocat d'office (cf. art. 64 al. 2 LTF ), elle doit être rejetée vu l'absence de chances de succès du recours.</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