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8C_258/2008 vom 12. Dezember 2008</w:t>
      </w:r>
    </w:p>
    <w:p>
      <w:r>
        <w:t>Bundesgericht, 2008-12-12, FR</w:t>
      </w:r>
    </w:p>
    <w:p>
      <w:r>
        <w:rPr>
          <w:b/>
        </w:rPr>
        <w:t xml:space="preserve">Quelle: </w:t>
      </w:r>
      <w:r>
        <w:t>https://mcp.opencaselaw.ch/entscheid/bger_8C_258_2008</w:t>
      </w:r>
    </w:p>
    <w:p>
      <w:r>
        <w:t>FR: TF 8C_258/2008 du 12 décembre 2008</w:t>
      </w:r>
    </w:p>
    <w:p>
      <w:r>
        <w:t>IT: TF 8C_258/2008 del 12 dicembre 2008</w:t>
      </w:r>
    </w:p>
    <w:p>
      <w:pPr>
        <w:pStyle w:val="Heading2"/>
      </w:pPr>
      <w:r>
        <w:t>Erwägungen</w:t>
      </w:r>
    </w:p>
    <w:p>
      <w:r>
        <w:rPr>
          <w:b/>
        </w:rPr>
        <w:t>E. 1</w:t>
      </w:r>
    </w:p>
    <w:p>
      <w:r>
        <w:t>L'OCPA demande la confirmation de sa décision du 10 septembre 2007 par laquelle il a réclamé à l'intimée la restitution des prestations complémentaires de droit fédéral et de droit cantonal pour la période du 1er janvier au 31 décembre 2006. Toutefois, comme le Tribunal fédéral l'a jugé dans un arrêt récent ( ATF 134 V 53 consid. 2.3.4 p. 60), l'OCPA n'a pas la qualité pour former un recours en matière de droit public pour ce qui est des prestations complémentaires prévues par le droit cantonal. Sont dès lors seules recevables ses conclusions en rapport aux prestations complémentaires fédérales.</w:t>
      </w:r>
    </w:p>
    <w:p>
      <w:r>
        <w:rPr>
          <w:b/>
        </w:rPr>
        <w:t>E. 2</w:t>
      </w:r>
    </w:p>
    <w:p>
      <w:r>
        <w:t>Le recours peut être interjeté pour violation du droit, tel qu'il est délimité par les art. 95 et 96 LTF . Le Tribunal fédéral applique le droit d'office ( art. 106 al. 1 LTF ). Il statue en principe sur la base des faits établis par l'autorité précédente ( art. 105 al. 1 LTF ), à moins que le recourant ne démontre que ces faits ont été constatés en violation du droit au sens de l' art. 95 LTF ou de manière manifestement inexacte ( art. 97 al. 1 LTF ).</w:t>
      </w:r>
    </w:p>
    <w:p>
      <w:r>
        <w:rPr>
          <w:b/>
        </w:rPr>
        <w:t>E. 3</w:t>
      </w:r>
    </w:p>
    <w:p>
      <w:r>
        <w:t>En l'occurrence, la restitution se fonde sur le fait que l'intimée a perçu, en 2006, des prestations complémentaires fédérales correspondant à la situation d'une personne seule avec enfants à charge alors qu'elle était mariée et que les bases de calcul diffèrent dans le cas d'un couple marié (cf. art. 3a al. 4 LPC ). Il s'agit en particulier d'examiner le principe de la prise en compte, pour le calcul de ces prestations, d'un gain au titre de l'activité hypothétique du conjoint, l'intimée n'ayant émis aucune critique sur le montant en lui-même.</w:t>
      </w:r>
    </w:p>
    <w:p>
      <w:r>
        <w:rPr>
          <w:b/>
        </w:rPr>
        <w:t>E. 4</w:t>
      </w:r>
    </w:p>
    <w:p>
      <w:r>
        <w:t>Selon l' art. 3c al. 1 let . g LPC, - en vigueur et applicable en l'occurrence ( ATF 127 V 466 consid. 1 p. 467) - jusqu'au 31 décembre 2007, les revenus déterminants comprennent les ressources et parts de fortune dont un ayant droit s'est dessaisi. Cette disposition est directement applicable lorsque le conjoint d'une personne assurée s'abstient de mettre en valeur sa capacité de gain, alors qu'il pourrait se voir obligé d'exercer une activité lucrative en vertu de l' art. 163 CC .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consid. 4.1 p. 61 et les références).</w:t>
      </w:r>
    </w:p>
    <w:p>
      <w:r>
        <w:rPr>
          <w:b/>
        </w:rPr>
        <w:t>E. 5.1</w:t>
      </w:r>
    </w:p>
    <w:p>
      <w:r>
        <w:t>En bref, la juridiction cantonale a estimé qu'au cours de l'année 2006, en raison des événements graves et hors du commun survenus dans la vie de L.________, la présence de son époux à l'étranger pour la soutenir et l'assister dans ses démarches relevait du devoir conjugal de celui-ci ( art. 159 al. 2 et 3 CC ) et qu'on ne pouvait exiger de lui, dans ces conditions, qu'il exerçât une activité lucrative.</w:t>
      </w:r>
    </w:p>
    <w:p>
      <w:r>
        <w:rPr>
          <w:b/>
        </w:rPr>
        <w:t>E. 5.2</w:t>
      </w:r>
    </w:p>
    <w:p>
      <w:r>
        <w:t>L'OCPA rappelle que le but des prestations complémentaires est d'assurer un revenu minimum aux bénéficiaires des rentes de l'AVS et de l'AI se trouvant dans le besoin et qu'il incombe par conséquent à l'époux d'une assurée, en vertu de son devoir de contribuer à l'entretien convenable de la famille ( art. 163 CC ), d'exercer une activité lucrative. En l'occurrence, le choix de S.________ d'accompagner son épouse à l'étranger répondait à un motif de convenance personnelle et l'assurance des prestations complémentaires n'avait pas à en supporter les conséquences.</w:t>
      </w:r>
    </w:p>
    <w:p>
      <w:r>
        <w:rPr>
          <w:b/>
        </w:rPr>
        <w:t>E. 6</w:t>
      </w:r>
    </w:p>
    <w:p>
      <w:r>
        <w:t>Au regard du statut marital de l'intimée, la prise en compte, pour le calcul de ses prestations complémentaires de droit fédéral, d'un revenu hypothétique du mari ne prête pas flanc à la critique. En effet, dès lors que chacun des époux doit contribuer, selon ses facultés, à l'entretien convenable de la famille (cf. art. 163 CC ), l'exercice d'une activité lucrative par l'époux s'impose lorsqu'il existe des circonstances objectives - comme en l'espèce - qui empêchent l'épouse de travailler et qu'elle se trouve de ce fait dans une situation de besoin. Cela découle également du devoir d'assistance entre époux prévu par l' art. 159 al. 3 CC (cf. ATF 114 II 13 consid. 4 p. 16). Par ailleurs, le conjoint de l'intimée (de nationalité suisse) est jeune et capable de travailler, de sorte qu'il n'existe aucun motif lié à sa personne qui ferait obstacle à ce qu'il contribue aux frais du ménage commun par son travail. Cela étant, les circonstances dont l'intimée a fait état ne justifient pas de faire une exception dans son cas. Il n'est pas établi qu'elle n'aurait pas été en mesure d'accomplir son devoir de protection et d'assistance envers ses enfants sans le soutien de son mari sur place. Si l'on peut admettre l'utilité d'un bref séjour de S.________ à l'étranger afin de lui faciliter l'organisation et la mise en place des démarches nécessaires pour la procédure de regroupement familial, on ne voit pas que sa présence eût été indispensable tout au long de l'année 2006. En particulier, il ne ressort pas du dossier que l'état de santé de l'intimée commandait qu'une tierce personne soit continuellement présente à ses côtés (dans sa réponse au recours, L.________ mentionne le fait qu'elle a pu se faire envoyer les médicaments dont elle avait besoin de la Suisse). En ce sens, les difficultés auxquelles le couple devait faire face ne se posaient pas en des termes différents de ceux auxquelles un couple dont la femme s'occupe du foyer aurait été confronté dans les mêmes circonstances. Or, il n'appartient pas à l'assurance des prestations complémentaires à l'AVS/AI de financer indirectement le séjour à l'étranger, durant une année complète, d'un couple marié même si le motif de ce séjour est lié à des problèmes d'ordre familial. Le changement d'état civil de l'intimée justifiait donc que l'OCPA revienne sur ses décisions antérieures (cf. art. 25 al. 1 LPGA ).</w:t>
      </w:r>
    </w:p>
    <w:p>
      <w:r>
        <w:rPr>
          <w:b/>
        </w:rPr>
        <w:t>E. 7</w:t>
      </w:r>
    </w:p>
    <w:p>
      <w:r>
        <w:t>Il découle de ce qui précède et de ce qui a été dit au consid. 1 que la décision sur opposition du 10 septembre 2007 est confirmée en tant qu'elle porte sur la restitution des prestations complémentaires de droit fédéral, tandis qu'elle est annulée en ce qui concerne la restitution des prestations complémentaires de droit cantonal par le jugement entrepris qui entrera en force sur ce point. Compte tenu de l'issue du litige, la juridiction cantonale statuera à nouveau sur les dépens de la procédure cantonale.</w:t>
      </w:r>
    </w:p>
    <w:p>
      <w:r>
        <w:rPr>
          <w:b/>
        </w:rPr>
        <w:t>E. 8</w:t>
      </w:r>
    </w:p>
    <w:p>
      <w:r>
        <w:t>Vu ce qui précède, il se justifie de répartir les frais judiciaires par moitié entre les parties ( art. 66 al. 1 LTF ) et de mettre à la charge du recourant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