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8C_257/2025 vom 28. Mai 2025</w:t>
      </w:r>
    </w:p>
    <w:p>
      <w:r>
        <w:t>Bundesgericht, 2025-05-28, DE</w:t>
      </w:r>
    </w:p>
    <w:p>
      <w:r>
        <w:rPr>
          <w:b/>
        </w:rPr>
        <w:t xml:space="preserve">Quelle: </w:t>
      </w:r>
      <w:r>
        <w:t>https://mcp.opencaselaw.ch/entscheid/bger_8C_257_2025</w:t>
      </w:r>
    </w:p>
    <w:p>
      <w:r>
        <w:t>FR: TF 8C_257/2025 du 28 mai 2025</w:t>
      </w:r>
    </w:p>
    <w:p>
      <w:r>
        <w:t>IT: TF 8C_257/2025 del 28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Entscheid vom 25. März 2025 den Einspracheentscheid der Beschwerdegegnerin vom 13. September 2024, mit welchem ein Anspruch auf Arbeitslosenentschädigung ab 5. März 2024 verneint wurde. Dies geschah im Wesentlichen mit der Begründung, ein tatsächlicher Lohnfluss lasse sich nicht mit überwiegender Wahrscheinlichkeit belegen, was aber gemäss Art. 8 Abs. 1 lit. e, Art. 13 und Art. 23 AVIG Voraussetzung für einen Leistungsbezug sei.</w:t>
      </w:r>
    </w:p>
    <w:p>
      <w:r>
        <w:rPr>
          <w:b/>
        </w:rPr>
        <w:t>E. 3</w:t>
      </w:r>
    </w:p>
    <w:p>
      <w:r>
        <w:t>Die Vorbringen des Beschwerdeführers erschöpfen sich in einer letztinstanzlich unzulässigen appellatorischen Kritik an der vorinstanzlichen Würdigung der Parteivorbringen und der eingereichten Belege. Das kantonale Gericht hat schlüssig dargelegt, weshalb sich insbesondere weder mit der gegenüber der kantonalen Sozialversicherungsanstalt erfolgten Lohndeklaration 2023 noch mit der ebenfalls erst nach der Anmeldung zum Leistungsbezug eingereichten Steuererklärung 2023 allein ein tatsächlicher Lohnfluss beweisen lasse. Auch hat es die weiteren ins Recht gelegten Beweismittel wie Arbeitsvertrag, Quittungen und Bankauszüge berücksichtigt und sich mit den vom Beschwerdeführer für einen effektiven Lohnfluss vorgebrachten Argumenten auseinandergesetzt. Inwiefern die von der Vorinstanz dabei vorgenommene Beweiswürdigung willkürlich oder der Entscheid selbst gegen Bundesrecht verstossen soll, legt der Beschwerdeführer nicht näher dar. Allein das bereits vor Vorinstanz Vorgetragene zu wiederholen,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