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8C_255/2026 vom 30. April 2026</w:t>
      </w:r>
    </w:p>
    <w:p>
      <w:r>
        <w:t>Bundesgericht, 2026-04-30, DE</w:t>
      </w:r>
    </w:p>
    <w:p>
      <w:r>
        <w:rPr>
          <w:b/>
        </w:rPr>
        <w:t xml:space="preserve">Quelle: </w:t>
      </w:r>
      <w:r>
        <w:t>https://mcp.opencaselaw.ch/entscheid/bger_8C_255_2026</w:t>
      </w:r>
    </w:p>
    <w:p>
      <w:r>
        <w:t>FR: TF 8C_255/2026 du 30 avril 2026</w:t>
      </w:r>
    </w:p>
    <w:p>
      <w:r>
        <w:t>IT: TF 8C_255/2026 del 30 aprile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aufzuzeigen,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19. Februar 2026 den Einspracheentscheid der Beschwerdegegnerin vom 6. Oktober 2025. Darin wurde der Anspruch der Beschwerdeführerin auf Ergänzungsleistungen zur AHV auf den 1. Mai 2025 hin neu festgelegt. Bemessungsgrundlage bildete unter anderem die von der Beschwerdeführerin auf diesen Tag hin beigebrachte Krankenversicherungspolice für das Jahr 2025. Die Vorinstanz erwog, als Auslage könne maximal der gemäss Art. 10 Abs. 3 lit. d ELG in Verbindung mit Art. 54a Abs. 3 ELV und Anhang der Verordnung des EDI über die Durchschnittsprämien der Krankenpflegeversicherung für die Berechnung der Ergänzungsleistungen und der Überbrückungsleistungen für ältere Arbeitslose vom 6. November 2024 (SR 831.309.1) im Kanton Glarus geltende Pauschalbetrag von Fr. 6'192.- jährlich berücksichtigt werden. Zum Begehren der Beschwerdeführerin, die Anspruchshöhe auch für die davor liegende Zeit ab 1. Januar 2025 neu zu bestimmen, führte das kantonale Gericht weiter aus, Art. 25 Abs. 2 lit. b ELV sehe vor, dass die jährliche Ergänzungsleistung frühestens auf den Beginn des Monats, in dem die Änderung gemeldet wurde, angepasst werden könne. Soweit die Beschwerdeführerin darüber hinaus sinngemäss die Fehlerhaftigkeit der unangefochten in Rechtskraft erwachsenen Verfügung vom 20. Dezember 2024 rügen wolle, welche die Festlegung der jährlichen Ergänzungsleistung ab 1. Januar 2025 beinhalte, liege dies ausserhalb dessen, worüber im vorliegenden Verfahren entschieden werden könne.</w:t>
      </w:r>
    </w:p>
    <w:p>
      <w:r>
        <w:rPr>
          <w:b/>
        </w:rPr>
        <w:t>E. 3</w:t>
      </w:r>
    </w:p>
    <w:p>
      <w:r>
        <w:t>Darauf geht die Beschwerdeführerin nicht sachbezogen ein. Insbesondere legt sie nicht näher dar, inwiefern die vorinstanzlichen Feststellungen offensichtlich unrichtig (vgl. Art. 97 Abs. 1 BGG ), mithin willkürlich ( BGE 146 IV 88 E. 1.3.1 f.; 140 III 115 E. 2; je mit Hinweisen) oder sonstwie bundesrechtswidrig sein sollen. Genauso wenig führt sie aus, inwieweit die darauf beruhenden Erwägungen gegen Bundesrecht verstossen oder einen anderen Beschwerdegrund (vgl. Art. 95 lit. a-e BGG ) gesetzt haben sollen. Die Ausführungen der Beschwerdeführerin erschöpfen sich vielmehr darin, die eigene Sicht der Dinge wiederzugeben und der Beschwerdegegnerin Unterlassungen vorzuwerfen, ohne indessen auf das von der Vorinstanz dazu Erwogene einzugehen.</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nochmals (zuletzt Urteil 9C_558/2021 vom 8. November 2021) auf die Erhebung von Gerichtskosten verzichtet. Bei ähnlicher Beschwerdeführung darf inskünftig indessen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