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8C_254/2009 vom 19. März 2010</w:t>
      </w:r>
    </w:p>
    <w:p>
      <w:r>
        <w:t>Bundesgericht, 2010-03-19, FR</w:t>
      </w:r>
    </w:p>
    <w:p>
      <w:r>
        <w:rPr>
          <w:b/>
        </w:rPr>
        <w:t xml:space="preserve">Quelle: </w:t>
      </w:r>
      <w:r>
        <w:t>https://mcp.opencaselaw.ch/entscheid/bger_8C_254_2009</w:t>
      </w:r>
    </w:p>
    <w:p>
      <w:r>
        <w:t>FR: TF 8C_254/2009 du 19 mars 2010</w:t>
      </w:r>
    </w:p>
    <w:p>
      <w:r>
        <w:t>IT: TF 8C_254/2009 del 19 marzo 2010</w:t>
      </w:r>
    </w:p>
    <w:p>
      <w:pPr>
        <w:pStyle w:val="Heading2"/>
      </w:pPr>
      <w:r>
        <w:t>Erwägungen</w:t>
      </w:r>
    </w:p>
    <w:p>
      <w:r>
        <w:rPr>
          <w:b/>
        </w:rPr>
        <w:t>E. 1.1</w:t>
      </w:r>
    </w:p>
    <w:p>
      <w:r>
        <w:t>Le litige porte sur le droit du recourant à une indemnité pour atteinte à l'intégrité.</w:t>
      </w:r>
    </w:p>
    <w:p>
      <w:r>
        <w:rPr>
          <w:b/>
        </w:rPr>
        <w:t>E. 1.2</w:t>
      </w:r>
    </w:p>
    <w:p>
      <w:r>
        <w:t>A l'appui de son recours, G.________ a produit un certificat médical établi par le docteur E.________ le 25 février 2009, soit postérieurement au jugement entrepris. Cette nouvelle pièce ne peut pas être prise en considération, les conditions posées par l' art. 99 al. 1 LTF pour la recevabilité d'un tel moyen de preuve n'étant pas remplies. Le pouvoir d'examen étendu dont dispose le Tribunal fédéral lorsqu'il est saisi d'un recours concernant l'octroi ou le refus de prestations en espèces de l'assurance-accidents ou de l'assurance militaire ne justifie pas une dérogation à cette disposition légale ( ATF 135 V 194 ).</w:t>
      </w:r>
    </w:p>
    <w:p>
      <w:r>
        <w:rPr>
          <w:b/>
        </w:rPr>
        <w:t>E. 2.1</w:t>
      </w:r>
    </w:p>
    <w:p>
      <w:r>
        <w:t>Aux termes de l' art. 6 al. 1 LAA , et sous réserve de dispositions spéciales de la loi, les prestations d'assurance sont allouées en cas d'accident professionnel, d'accident non professionnel et de maladie professionnelle. Cette disposition implique, pour l'ouverture et le maintien du droit aux prestations, l'existence d'un rapport de causalité naturelle et adéquate entre l'accident, d'une part, et les atteintes à la santé en raison desquelles l'assuré demande des prestations, d'autre part. Le jugement entrepris expose les notions de causalité naturelle et de causalité adéquate, ainsi que la jurisprudence y relative, notamment les critères posés pour statuer sur l'existence d'un rapport de causalité adéquate entre un accident et des troubles psychiques qui ont suivi. Il expose également le contenu des art. 24 al. 1 LAA et 36 OLAA. Sur ces points, il convient donc d'y renvoyer.</w:t>
      </w:r>
    </w:p>
    <w:p>
      <w:r>
        <w:rPr>
          <w:b/>
        </w:rPr>
        <w:t>E. 2.2</w:t>
      </w:r>
    </w:p>
    <w:p>
      <w:r>
        <w:t>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elle nie en principe le caractère durable d'une atteinte à l'intégrité psychique survenue à la suite d'un accident insignifiant ou de peu de gravité, ou encore en cas d'accident de gravité moyenne. Elle n'estime alors pas nécessaire de mettre en oeuvre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oeuvre d'une expertise psychiatrique, pour autant qu'il n'apparaisse pas déjà évident sur le vu des éléments ressortant du dossier ( ATF 124 V 29 consid. 5c/bb p. 44 sv.; 209 consid. 4b p. 211 ss).</w:t>
      </w:r>
    </w:p>
    <w:p>
      <w:r>
        <w:rPr>
          <w:b/>
        </w:rPr>
        <w:t>E. 3.1</w:t>
      </w:r>
    </w:p>
    <w:p>
      <w:r>
        <w:t>Il ressort notamment du rapport du 4 mars 2008 du docteur A.________ que le recourant présente une séquelle de l'agression du 21 février 2004 sous la forme d'une hyposensibilité du tiers externe de la lèvre inférieure gauche, ainsi que de cicatrices endo-buccales calmes, avec fibrose. Le rapport de causalité naturelle et adéquat avec l'accident assuré ne prête pas à discussion et n'est d'ailleurs pas litigieux. En revanche, l'intimée a nié le caractère important de cette atteinte à l'intégrité. Les premiers juges ne sont pas revenus sur cette appréciation, qui n'était plus formellement contestée par le recourant, à juste titre compte tenu des constatations du docteur A.________. Si l'on prend en considération les seules séquelles au niveau de visage du recourant, ses conclusions tendant à l'octroi d'une indemnité pour atteinte à l'intégrité sont donc mal fondées.</w:t>
      </w:r>
    </w:p>
    <w:p>
      <w:r>
        <w:rPr>
          <w:b/>
        </w:rPr>
        <w:t>E. 3.2</w:t>
      </w:r>
    </w:p>
    <w:p>
      <w:r>
        <w:t>Le recourant allègue souffrir d'une arthrose péronéo-astragalienne d'origine accidentelle. Le docteur A.________ a toutefois précisé dans son rapport du 4 mars 2008 que l'ébauche d'arthrose sous-astragalienne postérieure, simplement sous forme d'aspect effilé des berges articulaires, n'avait aucun caractère de gravité; en outre, la situation à distance de la malléole externe traumatisée le 21 février 2004 ne permettait pas d'établir un rapport de causalité (naturelle) certain ou vraisemblable avec l'agression, mais tout au plus possible. A cet égard, l'IRM pratiquée par le docteur N.________ le 17 avril 2008 et à laquelle se réfère le recourant n'apporte aucun élément nouveau de nature à remettre en cause l'appréciation du docteur A.________. Il n'y a donc pas lieu de tenir pour établi que la cheville droite du recourant est encore affectée de séquelles de l'agression du 21 février 2004.</w:t>
      </w:r>
    </w:p>
    <w:p>
      <w:r>
        <w:rPr>
          <w:b/>
        </w:rPr>
        <w:t>E. 3.3.1</w:t>
      </w:r>
    </w:p>
    <w:p>
      <w:r>
        <w:t>Dans son rapport du 2 juin 2008, le docteur E.________ a posé les diagnostics de syndrome de stress post-traumatique et d'état dépressif sévère. Il atteste un rapport de causalité naturelle avec l'agression. En se fondant sur ce rapport, les premiers juges ont admis à juste titre l'existence d'un tel rapport de causalité, sur lequel il n'y a pas lieu de revenir.</w:t>
      </w:r>
    </w:p>
    <w:p>
      <w:r>
        <w:rPr>
          <w:b/>
        </w:rPr>
        <w:t>E. 3.3.2</w:t>
      </w:r>
    </w:p>
    <w:p>
      <w:r>
        <w:t>La juridiction cantonale a mis en doute le caractère durable des atteintes à la santé psychiques diagnostiquées par le docteur E.________. Elle a souligné que ce médecin n'avait envisagé ce caractère durable que comme une simple possibilité, avant de finalement laisser la question ouverte. En réalité, si l'on se réfère à la jurisprudence en la matière (consid. 2.2 ci-avant), ce caractère durable ne peut être tenu pour établi en l'espèce. En effet, l'agression du 21 février 2004 doit être qualifiée d'accident de gravité moyenne et ne se situe pas à la limite de la catégorie des accidents les plus graves. Le recourant a reçu un coup de poing au visage, certes violent, mais l'agression n'a pas duré. G.________ s'est ensuite retrouvé assis contre le mur extérieur du Club X.________ et a pu se rendre à l'hôpital avec l'aide d'un chauffeur de taxi. La brièveté de l'événement ne permet pas de tirer une analogie avec les agressions qui ont donné lieu aux jurisprudences citées par le recourant (arrêt U 9/00 du 28 août 2001, in RAMA 2001 no U 440 p. 350, et arrêt U 36/07 du 8 mai 2007), d'autant que les victimes de ces agressions avaient de sérieux motifs de penser que leur(s) agresseur(s) s'en prendrai(en)t à leur vie. En l'espèce, si le recourant a effectivement subi des lésions plus graves que la victime de l'agression décrite dans l'arrêt U 9/00 cité, il n'en reste pas moins que son agresseur lui a adressé un seul coup de poing et, selon toute vraisemblance, l'a ensuite ceinturé pour le traîner hors du Club X.________; il n'y a pas eu, à proprement parler, un acharnement semblable à celui qui caractérisait l'état de fait décrit dans cet arrêt.</w:t>
      </w:r>
    </w:p>
    <w:p>
      <w:r>
        <w:rPr>
          <w:b/>
        </w:rPr>
        <w:t>E. 3.3.3</w:t>
      </w:r>
    </w:p>
    <w:p>
      <w:r>
        <w:t>En l'absence d'atteinte à l'intégrité psychique dont le caractère durable serait établi au degré de la vraisemblance prépondérante, les conclusions du recourant tendant à l'ocroi d'une indemnité pour une telle atteinte sont mal fondées. Au demeurant, même si l'on admettait, par hypothèse, le caractère durable du syndrome post-traumatique et de la dépression dont souffre le recourant, le rapport de causalité adéquate entre ces atteintes et l'agression du 21 février 2004 devrait être nié. Le recourant a certes gardé des séquelles physiques de cette agression, en particulier une gêne en raison de l'hyposensibilité du tiers externe de la lèvre inférieure gauche. Mais en dehors de cela, aucun des critères posés par la jurisprudence relative à l'examen du rapport de causalité adéquate entre un accident et une atteinte à la santé psychique n'est rempli. En particulier, la violence du coup de poing et son imprévisibilité ne suffisent pas, contrairement à ce que soutient le recourant, à qualifier les circonstances de l'accident de particulièrement dramatiques ou impressionnantes. Par ailleurs, l'incapacité de travail consécutive à l'accident a pris fin le 3 mai 2004 et le traitement médical de la cheville était considéré comme terminé en avril 2004, sous réserve de physiothérapie (rapport du 28 avril 2004 du docteur T.________). Hormis l'ablation du matériel d'ostéosynthèse en mai 2005, les pièces médicales au dossier n'indiquent pas que le traitement de la fracture mandibulaire ait été beaucoup plus long.</w:t>
      </w:r>
    </w:p>
    <w:p>
      <w:r>
        <w:rPr>
          <w:b/>
        </w:rPr>
        <w:t>E. 4</w:t>
      </w:r>
    </w:p>
    <w:p>
      <w:r>
        <w:t>Vu ce qui précède, le jugement entrepris n'est pas critiquable et les conclusions du recourant sont mal fondées. La procédure est onéreuse, de sorte que les frais de justice sont mis à la charge du recourant, qui ne peut par ailleurs pas prétendre de dépens (art. 66 al. 1 et 68 al. 1 LTF). Les conditions auxquelles l' art. 64 al. 1 et 2 LTF soumet l'octroi de l'assistance judiciaire sont toutefois remplies, de sorte que le recourant est provisoirement dispensé de s'acquitter des frais judiciaires, les honoraires de son mandataire étant pris en charge par la caisse du Tribunal. Le recourant est rendu attentif au fait qu'il devra rembourser l'aide reçue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