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8C_254/2008 vom 5. Juni 2008</w:t>
      </w:r>
    </w:p>
    <w:p>
      <w:r>
        <w:t>Bundesgericht, 2008-06-05, DE</w:t>
      </w:r>
    </w:p>
    <w:p>
      <w:r>
        <w:rPr>
          <w:b/>
        </w:rPr>
        <w:t xml:space="preserve">Quelle: </w:t>
      </w:r>
      <w:r>
        <w:t>https://mcp.opencaselaw.ch/entscheid/bger_8C_254_2008</w:t>
      </w:r>
    </w:p>
    <w:p>
      <w:r>
        <w:t>FR: TF 8C_254/2008 du 5 juin 2008</w:t>
      </w:r>
    </w:p>
    <w:p>
      <w:r>
        <w:t>IT: TF 8C_254/2008 del 5 giugno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ist deutsche Staatsangehörige. Der Unfall ereignete sich am 20. September 2004, der streitige Einspracheentscheid erging am 15. Mai 2007. Demnach ist das am 1. Juni 2002 in Kraft getretene Abkommen vom 21. Juni 1999 zwischen der Schweizerischen Eidgenossenschaft einerseits und der Europäischen Gemeinschaft und ihren Mitgliedstaaten - darunter Deutschland - andererseits über die Freizügigkeit (Freizügigkeitsabkommen, FZA) zeitlich grundsätzlich anwendbar ( BGE 128 V 315 ). Die materiellen Voraussetzungen der hier streitigen Leistungsansprüche aus Unfall (zur Terminologie vgl. Edgar Imhof, Eine Anleitung zum Gebrauch des Personenfreizügigkeitsabkommens und der VO 1408/71, in: Hans-Jakob Mosimann [Hrsg.], Aktuelles im Sozialversicherungsrecht, Zürich 2001, S. 74) einer im Zeitpunkt des Schadenereignisses in der Schweiz beschäftigten und bei einem schweizerischen Träger für das Risiko Berufsunfall versicherten Person bestimmen sich aber ungeachtet ihrer deutschen Staatsangehörigkeit und der zeitlichen Anwendbarkeit des FZA nach schweizerischem Recht, wobei die von den Trägern der anderen Staaten erhaltenen ärztlichen Unterlagen und Berichte zu berücksichtigen sind ( BGE 130 V 253 E. 2.4 S. 257; Urteil 8C_189/2007 vom 25. Juni 2007, E. 2).</w:t>
      </w:r>
    </w:p>
    <w:p>
      <w:r>
        <w:rPr>
          <w:b/>
        </w:rPr>
        <w:t>E. 3</w:t>
      </w:r>
    </w:p>
    <w:p>
      <w:r>
        <w:t>Die Vorinstanz hat die Bestimmungen und Grundsätze über den für die Leistungspflicht des Unfallversicherers vorausgesetzten natürlichen Kausalzusammenhang zwischen dem Unfall und dem eingetretenen Schaden (Krankheit, Invalidität, Tod; BGE 129 V 177 E. 3.1 S. 181 mit Hinweisen), die vorausgesetzte Adäquanz des Kausalzusammenhangs im Allgemeinen ( BGE 129 V 177 E. 3.2 S. 181 mit Hinweis), bei psychischen Unfallfolgen ( BGE 129 V 177 E. 4.1 S. 183, 115 V 133 ff.) sowie Folgen eines Unfalls mit Schleudertrauma der Halswirbelsäule (HWS) bzw. einer diesem äquivalenten Verletzung ( BGE 127 V 102 E. 5b/bb S. 103, 122 V 415, 117 V 359 ff.; vgl. auch BGE U 394/06 vom 19. Februar 2008) ohne organisch nachweisbare Funktionsausfälle zutreffend dargelegt. Gleiches gilt zu den Begriffen des Rückfalls und der Spätfolge ( Art. 11 UVV ; BGE 127 V 456 E. 4b S. 457, 118 V 293 E. 2c S. 296; SVR 2003 UV Nr. 14 S. 42 E. 4, U 86/02; RKUV 1994 Nr. U 206 S. 326 E. 2). Darauf wird verwiesen.</w:t>
      </w:r>
    </w:p>
    <w:p>
      <w:r>
        <w:rPr>
          <w:b/>
        </w:rPr>
        <w:t>E. 4.1</w:t>
      </w:r>
    </w:p>
    <w:p>
      <w:r>
        <w:t>Das kantonale Gericht hat nach eingehender und sorgfältiger Würdigung der medizinischen Akten mit einlässlicher Begründung zutreffend erwogen, dass die adäquate Kausalität zwischen dem Unfall vom 20. September 2004 und den ab Januar 2006 bestehenden gesundheitlichen Beschwerden der Versicherten in Anwendung der Rechtsprechung zu den psychischen Unfallfolgen ( BGE 115 V 133 ff.) zu beurteilen ist. Weiter hat die Vorinstanz richtig erkannt, dass die adäquate Kausalität zwischen dem als mittelschwer zu qualifizierenden Unfall vom 20. September 2004 (zur Unfalleinstufung nach dem augenfälligen Geschehensablauf vgl. SVR 2008 UV Nr. 8 S. 26 E. 5.3.1, U 2/07; Urteil U 503/05 vom 17. August 2006, E. 2.2 und 3.1 f.) und den psychischen Beschwerden der Versicherten zu verneinen ist. Es wird auf die entsprechenden vorinstanzlichen Erwägungen verwiesen ( Art. 109 Abs. 3 BGG ).</w:t>
      </w:r>
    </w:p>
    <w:p>
      <w:r>
        <w:rPr>
          <w:b/>
        </w:rPr>
        <w:t>E. 4.2</w:t>
      </w:r>
    </w:p>
    <w:p>
      <w:r>
        <w:t>Sämtliche letztinstanzlich vorgebrachte Einwendungen und neu aufgelegte Urkunden der Versicherten vermögen an diesem Ergebnis nichts zu ändern.</w:t>
      </w:r>
    </w:p>
    <w:p>
      <w:r>
        <w:rPr>
          <w:b/>
        </w:rPr>
        <w:t>E. 4.2.1</w:t>
      </w:r>
    </w:p>
    <w:p>
      <w:r>
        <w:t>Unbehelflich ist insbesondere die Berufung der Versicherten auf den vorinstanzlich aufgelegten Bericht des Universitätsklinikums X.________, Neurologie, vom 10. Dezember 2007, worin eine chronische Lumbago (ICD-10: N54.3) diagnostiziert sowie pathologische Tibialis-SEP rechts und links festgestellt wurden. Denn in diesem Bericht wurde zur Kausalität allfälliger klar ausgewiesener organischer Beschwerden mit dem Unfall vom 20. September 2004 nicht hinreichend Stellung genommen. Es wurde lediglich ausgeführt, aufgrund der starken Fixierung der Versicherten auf den Unfall erscheine eine Aggravation der Beschwerden möglich.</w:t>
      </w:r>
    </w:p>
    <w:p>
      <w:r>
        <w:rPr>
          <w:b/>
        </w:rPr>
        <w:t>E. 4.2.2</w:t>
      </w:r>
    </w:p>
    <w:p>
      <w:r>
        <w:t>Letztinstanzlich legt die Versicherte neu unter anderem einen Bericht des Universitätsklinikums X.________, Departement Orthopädie und Traumatologie, vom 7. Februar 2008 auf; hierin wurde über einen gleichentags erlittenen Sturz der Versicherten berichtet und unter anderem die Diagnose der pathologischen Tibialis-SEP rechts und links gemäss Bericht vom 10. Dezember 2007 (E. 4.2.1 hievor) bestätigt. Weiter gibt die Versicherte Berichte des Krankenhauses J.________ vom 18. Februar und 25. März 2008 betreffend eine Knieprellung rechts aufgrund des Sturzes vom 7. Februar 2008 zu den Akten. Zudem legt sie einen Bericht der Gutachterkommission und Schlichtungsstelle für Fragen ärztlicher Haftpflicht vom 19. Februar 2008 vor, worin ihr eröffnet wurde, nach Prüfung der Unterlagen werde nach bisheriger Erkenntnis keine Möglichkeit für eine Tätigkeit der Gutachterkommission gesehen. Im Weiteren reicht die Versicherte eine Einladung des Universitätsklinikums X.________, Neurologie, vom 17. März 2008 zu Untersuchungen vom 15. April 2008 (Kernspin in der Neuroradiologie) und 16. April 2008 (Termin in der Neurologie) ein.</w:t>
      </w:r>
    </w:p>
    <w:p>
      <w:r>
        <w:t>Aus diesen neu zu den Akten gelegten ärztlichen Urkunden kann die Versicherte ebenfalls nichts zu ihren Gunsten ableiten, da darin zum Zusammenhang allfälliger klar ausgewiesener organischer Beschwerden mit dem Unfall vom 20. September 2004 nicht Bezug genommen wird. Demnach kann offen bleiben, ob letztinstanzlich erstmals eingereichte Beweismittel auch im Rahmen der Kognition gemäss Art. 97 Abs. 2 bzw. Art. 105 Abs. 3 BGG (Geldleistungen der Unfallversicherung) als unzulässige Noven im Sinne von Art. 99 Abs. 1 BGG zu gelten haben (Urteil 8C_104/2008 vom 18. März 2008, E. 4.2.1 mit Hinweis).</w:t>
      </w:r>
    </w:p>
    <w:p>
      <w:r>
        <w:rPr>
          <w:b/>
        </w:rPr>
        <w:t>E. 4.2.3</w:t>
      </w:r>
    </w:p>
    <w:p>
      <w:r>
        <w:t>Am 30. April 2008 (Postaufgabe) hat die Versicherte weitere neue Akten eingereicht. Dies erfolgte nach Ablauf der bundesgerichtlichen Rechtsmittelfrist, weshalb sie bereits aus diesem Grund ein unzulässiges und unbeachtliches Beweismittel darstellen (Urteil 9C_559/2007 vom 17. Dezember 2007, E. 2.4). Aus demselben Grund braucht auch ein allfälliger weiterer Bericht des Universitätsklinikums X.________ (vgl. die angekündigten Untersuchungen vom 15. und 16. April 2008; E. 4.2.2 hievor) nicht abgewartet zu werden.</w:t>
      </w:r>
    </w:p>
    <w:p>
      <w:r>
        <w:rPr>
          <w:b/>
        </w:rPr>
        <w:t>E. 4.2.4</w:t>
      </w:r>
    </w:p>
    <w:p>
      <w:r>
        <w:t>Da von einer zusätzlichen medizinischen Abklärung keine neuen Erkenntnisse zu erwarten sind, kann auf die Durchführung einer solchen in antizipierter Beweiswürdigung verzichtet werden ( BGE 131 I 153 E. 3 S. 157, 124 V 90 E. 4b S. 94; SVR 2007 IV Nr. 45 S. 149 E. 4, I 9/07). Dieses Vorgehen verstösst nicht gegen den Anspruch auf rechtliches Gehör des Art. 29 Abs. 2 BV und stellt auch die durch die EMRK garantierte Fairness des Verfahrens nicht in Frage (nicht publ. E. 4.2.1 des Urteils BGE 129 V 11 , veröffentlicht in SVR 2003 AHV Nr. 4 S. 9, H 26/02; SVR 2001 IV Nr. 10 S. 27 E. 4b, I 362/99; Urteil U 101/04 vom 16. August 2004, E. 2.3).</w:t>
      </w:r>
    </w:p>
    <w:p>
      <w:r>
        <w:rPr>
          <w:b/>
        </w:rPr>
        <w:t>E. 5</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