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8C_253/2007 vom 23. Januar 2008</w:t>
      </w:r>
    </w:p>
    <w:p>
      <w:r>
        <w:t>Bundesgericht, 2008-01-23, DE</w:t>
      </w:r>
    </w:p>
    <w:p>
      <w:r>
        <w:rPr>
          <w:b/>
        </w:rPr>
        <w:t xml:space="preserve">Quelle: </w:t>
      </w:r>
      <w:r>
        <w:t>https://mcp.opencaselaw.ch/entscheid/bger_8C_253_2007</w:t>
      </w:r>
    </w:p>
    <w:p>
      <w:r>
        <w:t>FR: TF 8C_253/2007 du 23 janvier 2008</w:t>
      </w:r>
    </w:p>
    <w:p>
      <w:r>
        <w:t>IT: TF 8C_253/2007 del 23 gennaio 2008</w:t>
      </w:r>
    </w:p>
    <w:p>
      <w:pPr>
        <w:pStyle w:val="Heading2"/>
      </w:pPr>
      <w:r>
        <w:t>Erwägungen</w:t>
      </w:r>
    </w:p>
    <w:p>
      <w:r>
        <w:rPr>
          <w:b/>
        </w:rPr>
        <w:t>E. 1</w:t>
      </w:r>
    </w:p>
    <w:p>
      <w:r>
        <w:t>Die Beschwerde ans Bundesgericht ist nicht kassatorischer, sondern reformatorischer Natur. Daher ist grundsätzlich zu verlangen, dass nicht nur die Aufhebung des angefochtenen Entscheids und Rückweisung an die Vorinstanz beantragt wird, sondern ein präziser Antrag zur Sache (z.B. durch genaue Angabe der Geldsumme, zu deren Bezahlung die Gegenpartei verpflichtet werden soll) in der Beschwerdeschrift gestellt wird ( BGE 133 III 489 ; Urteil 9C_104/2007 vom 20. August 2007, E. 10.2). Das Begehren umschreibt den Umfang des Rechtsstreits und sollte so formuliert werden, dass es bei Gutheissung zum Urteil erhoben werden kann. Ein blosser Aufhebungs- und Rückweisungsantrag genügt nach dem Gesagten nicht. Etwas anderes gilt, wenn das Bundesgericht bei Gutheissung ohnehin nicht selber endgültig entscheiden kann bzw. darf. Bei der Beurteilung, ob ein genügender Antrag vorliegt, darf das Gericht nicht nur auf die förmlich gestellten Anträge abstellen. Das Begehren kann sich auch aus der Begründung ergeben. Ein Verweis auf die im vorinstanzlichen Verfahren gestellten Anträge ist jedoch nicht hinreichend (vgl. Niggli/Uebersax/Wiprächtiger [Hrsg.], Basler Kommentar, Bundesgerichtsgesetz [BGG], Basel 2008, N 14 ff. und 18 zu Art. 42).</w:t>
      </w:r>
    </w:p>
    <w:p>
      <w:r>
        <w:rPr>
          <w:b/>
        </w:rPr>
        <w:t>E. 2.1</w:t>
      </w:r>
    </w:p>
    <w:p>
      <w:r>
        <w:t>Mit der Beschwerde wird gerügt, § 7 Abs. 3 des Sozialhilfegesetzes vom 29. Juni 2000 (SG 890.100; nachfolgend SHG) sei keine genügende gesetzliche Grundlage für die URL. Damit sei das Legalitätsprinzip von Art. 5 BV verletzt. Gemäss § 42 der damals geltenden Kantonsverfassung sei der Regierungsrat für den Erlass der notwendigen Verordnung zuständig gewesen und § 7 Abs. 2 SHG verstosse somit gegen § 42 der Kantonsverfassung. Zumindest die Höhe des Grundbedarfs und die Art der wirtschaftlichen Leistungen sei in einem formellen Gesetz zu regeln. Der Ansicht der Vorinstanz, es sei kein formelles Gesetz für die Festsetzung der Beträge notwendig, solange diese über dem Minimum von Art. 12 BV liegen würden, sei nicht zu folgen, da der angerufene BGE 130 I 1 diesen Fall nicht präjudiziere.</w:t>
      </w:r>
    </w:p>
    <w:p>
      <w:r>
        <w:rPr>
          <w:b/>
        </w:rPr>
        <w:t>E. 2.2</w:t>
      </w:r>
    </w:p>
    <w:p>
      <w:r>
        <w:t>Die Beschwerde zielt auf die Aufhebung des vorinstanzlichen Entscheids ab, indem das Gericht die Unrechtmässigkeit der URL feststellen soll. Sie enthält jedoch keinen materiellen Antrag im Sinne eines konkreten Leistungsbegehrens. Ein solcher kann auch der Beschwerde insgesamt nicht entnommen werden. Somit genügt die Beschwerde den Anforderungen von Art. 42 Abs. 1 BGG nicht (oben E. 1).</w:t>
      </w:r>
    </w:p>
    <w:p>
      <w:r>
        <w:rPr>
          <w:b/>
        </w:rPr>
        <w:t>E. 3.1</w:t>
      </w:r>
    </w:p>
    <w:p>
      <w:r>
        <w:t>Die unentgeltliche Rechtspflege kann nur gewährt werden, wenn die Rechtsvorkehr nicht aussichtslos ist. Als aussichtslos sind nach der bundesgerichtlichen Rechtsprechung Prozessbegehren anzusehen, bei denen die Gewinnaussichten (ex ante betrachtet; BGE 124 I 304 E. 2c S. 307)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 BGE 129 I 129 E. 2.3.1 S. 135 ; 128 I 225 E. 2.5.3 S. 235).</w:t>
      </w:r>
    </w:p>
    <w:p>
      <w:r>
        <w:rPr>
          <w:b/>
        </w:rPr>
        <w:t>E. 3.2</w:t>
      </w:r>
    </w:p>
    <w:p>
      <w:r>
        <w:t>Da die Gewinnaussichten der Beschwerde mangels Vorliegen der Eintretensvoraussetzungen wesentlich kleiner sind als die Verlustgefahren, ist das Rechtsmittel als aussichtslos zu bezeichnen und demnach das Gesuch um unentgeltliche Rechtspflege abzuweisen.</w:t>
      </w:r>
    </w:p>
    <w:p>
      <w:r>
        <w:rPr>
          <w:b/>
        </w:rPr>
        <w:t>E. 4</w:t>
      </w:r>
    </w:p>
    <w:p>
      <w:r>
        <w:t>Das Verfahren ist grundsätzlich kostenpflichtig. Angesichts der speziellen Umstände des Einzelfalls wird ausnahmsweise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