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251/2023 vom 30. Mai 2023</w:t>
      </w:r>
    </w:p>
    <w:p>
      <w:r>
        <w:t>Bundesgericht, 2023-05-30, DE</w:t>
      </w:r>
    </w:p>
    <w:p>
      <w:r>
        <w:rPr>
          <w:b/>
        </w:rPr>
        <w:t xml:space="preserve">Quelle: </w:t>
      </w:r>
      <w:r>
        <w:t>https://mcp.opencaselaw.ch/entscheid/bger_8C_251_2023</w:t>
      </w:r>
    </w:p>
    <w:p>
      <w:r>
        <w:t>FR: TF 8C 251/2023 du 30 mai 2023</w:t>
      </w:r>
    </w:p>
    <w:p>
      <w:r>
        <w:t>IT: TF 8C 251/2023 del 30 maggio 2023</w:t>
      </w:r>
    </w:p>
    <w:p>
      <w:pPr>
        <w:pStyle w:val="Heading2"/>
      </w:pPr>
      <w:r>
        <w:t>Regeste</w:t>
      </w:r>
    </w:p>
    <w:p>
      <w:r>
        <w:t>Kantonale Sozialversicherung (Prozessvoraussetzung) | Familienzulagen und kantonale Sozialversicherung</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legte im angefochtenen Urteil vom 16. März 2023 in Auseinandersetzung mit den Parteivorbringen und in Würdigung der Akten ausführlich dar, weshalb die Beschwerdegegnerin übernommene Prämien nach KVG gemäss dem anwendbaren kantonalen Recht im Umfang von Fr. 5'017.65 zurückfordern durfte.</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Insbesondere genügt es nicht, allein den Geschehensablauf aus seiner Sicht zu schildern, um direkt daraus auf eine fehlende Rückerstattungspflicht zu schliessen.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erweist sich das mit Beschwerdeerhebung gestellte Gesuch um unentgeltliche Prozessführung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