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251/2012 vom 27. August 2012</w:t>
      </w:r>
    </w:p>
    <w:p>
      <w:r>
        <w:t>Bundesgericht, 2012-08-27, FR</w:t>
      </w:r>
    </w:p>
    <w:p>
      <w:r>
        <w:rPr>
          <w:b/>
        </w:rPr>
        <w:t xml:space="preserve">Quelle: </w:t>
      </w:r>
      <w:r>
        <w:t>https://mcp.opencaselaw.ch/entscheid/bger_8C_251_2012</w:t>
      </w:r>
    </w:p>
    <w:p>
      <w:r>
        <w:t>FR: TF 8C 251/2012 du 27 août 2012</w:t>
      </w:r>
    </w:p>
    <w:p>
      <w:r>
        <w:t>IT: TF 8C 251/2012 del 27 agosto 2012</w:t>
      </w:r>
    </w:p>
    <w:p>
      <w:pPr>
        <w:pStyle w:val="Heading2"/>
      </w:pPr>
      <w:r>
        <w:t>Regeste</w:t>
      </w:r>
    </w:p>
    <w:p>
      <w:r>
        <w:t>Assurance-accidents (incapacité de travail, indemnité journalière) | Assurance-accidents</w:t>
      </w:r>
    </w:p>
    <w:p>
      <w:pPr>
        <w:pStyle w:val="Heading2"/>
      </w:pPr>
      <w:r>
        <w:t>Erwägungen</w:t>
      </w:r>
    </w:p>
    <w:p>
      <w:r>
        <w:rPr>
          <w:b/>
        </w:rPr>
        <w:t>E. 1</w:t>
      </w:r>
    </w:p>
    <w:p>
      <w:r>
        <w:t>Le litige porte sur le point de savoir si l'intimée était fondée à supprimer avec effet au 27 octobre 2010 l'indemnité journalière versée au recourant.</w:t>
      </w:r>
    </w:p>
    <w:p>
      <w:r>
        <w:rPr>
          <w:b/>
        </w:rPr>
        <w:t>E. 2</w:t>
      </w:r>
    </w:p>
    <w:p>
      <w:r>
        <w:t>Selon l' art. 16 al. 1 LAA , l'assuré totalement ou partiellement incapable de travailler ( art. 6 LPGA ) à la suite d'un accident a droit à une indemnité journalière.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cf. ATF 129 V 460 consid. 4.2 p. 463; 114 V 281 consid. 1d p. 283; voir également l'art. 6, deuxième phrase, LPGA). Si une activité de substitution est exigible, un laps de temps suffisant compris entre trois et cinq mois doit alors être imparti à l'assuré pour lui permettre de retrouver un emploi adapté à son état de santé (SJ 2000 II consid. 2b p. 440). A l'issue de ce délai, le droit à l'indemnité journalière dépend de l'existence d'une perte de gain éventuelle imputable au risque assuré. Celle-ci se détermine par la différence entre le revenu qui pourrait être obtenu sans la survenance de l'éventualité assurée dans la profession exercée jusqu'ici et le revenu qui est obtenu ou pourrait raisonnablement être réalisé dans la nouvelle profession ( ATF 114 V 281 consid. 3c in fine p. 286; UELI KIESER, ATSG-Kommentar, 2ème éd., 2009, n° 26 ad art. 6). La perte de gain chiffrée en pour cent donne ainsi le taux de l'incapacité de travail résiduelle.</w:t>
      </w:r>
    </w:p>
    <w:p>
      <w:r>
        <w:rPr>
          <w:b/>
        </w:rPr>
        <w:t>E. 3.1</w:t>
      </w:r>
    </w:p>
    <w:p>
      <w:r>
        <w:t>Les premiers juges ont fait leurs les appréciations du docteur I.________ et des médecins de la Clinique Z.________; ils ont ainsi retenu que l'état de santé de l'assuré était stabilisé et que l'intéressé était à même de faire valoir une pleine capacité de travail dans son activité de peintre en bâtiment (moyennant le port de chaussures adéquates) ou du moins dans une activité adaptée (évitant la marche en terrain irrégulier). Ils ont considéré qu'au regard du large éventail d'activités simples et répétitives que recouvrent les secteurs de la production et des services, un certain nombre d'entre elles étaient légères et adaptées aux limitations de l'assuré.</w:t>
      </w:r>
    </w:p>
    <w:p>
      <w:r>
        <w:rPr>
          <w:b/>
        </w:rPr>
        <w:t>E. 3.2</w:t>
      </w:r>
    </w:p>
    <w:p>
      <w:r>
        <w:t>Le recourant fait grief à la juridiction cantonale d'avoir écarté, en particulier, les conclusions des docteurs M.________, G.________ ainsi que celles du SMR, au profit des avis des médecins de la CNA.</w:t>
      </w:r>
    </w:p>
    <w:p>
      <w:r>
        <w:rPr>
          <w:b/>
        </w:rPr>
        <w:t>E. 3.3</w:t>
      </w:r>
    </w:p>
    <w:p>
      <w:r>
        <w:t>En l'espèce, ces médecins s'opposent sur différents points. Pour le docteur I.________ - lequel confirme le rapport des médecins de la Clinique Z.________ - l'examen clinique montre qu'au plan fonctionnel, la cheville avait non seulement récupéré sa stabilité, mais également en grande partie sa mobilité; l'intéressé pouvait reprendre ses activités de peintre en bâtiment sans restriction, sauf à porter des chaussures montantes à son travail. Pour les médecins de l'Hôpital W.________ et, notamment, pour le docteur M.________, on trouve chez R.________ "un nombre de signes objectifs montrant des lésions tissulaires subies lors de son accident" et l'assuré "présente du point de vue subjectif une gêne importante rendant une reprise professionnelle à 100 % sur un chantier inenvisageable actuellement" (rapport du 13 janvier 2011). Le docteur M.________ a précisé par la suite que si l'évolution radiologique était plutôt bonne, l'évolution du patient dans son ensemble était peu favorable et ne laissait pas présager une reprise du travail à temps complet du jour au lendemain (rapport du 17 mai 2011). Pour sa part, la doctoresse U.________ du SMR considère que l'assuré doit éviter la marche en terrain irrégulier (instable, accidenté, escaliers, échafaudages). Elle estime que la fragilité des deux chevilles entraîne un risque d'invalidité à moyen terme, raison pour laquelle elle retient une incapacité de travail de 20 % dans l'activité habituelle de peintre en bâtiment et préconise des mesures professionnelles.</w:t>
      </w:r>
    </w:p>
    <w:p>
      <w:r>
        <w:rPr>
          <w:b/>
        </w:rPr>
        <w:t>E. 3.4</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 ( ATF 135 V 465 ).</w:t>
      </w:r>
    </w:p>
    <w:p>
      <w:r>
        <w:rPr>
          <w:b/>
        </w:rPr>
        <w:t>E. 3.5</w:t>
      </w:r>
    </w:p>
    <w:p>
      <w:r>
        <w:t>Sur le vu des opinions divergentes des médecins en ce qui concerne plus spécialement l'étendue de l'incapacité de travail du recourant dans sa profession, on ne saurait sans plus retenir que celui-ci a une pleine capacité de travail dans sa profession de peintre en bâtiment. Par ailleurs, même si l'on admet que le recourant pourrait exercer en plein une autre activité adaptée - encore qu'il n'apparaît pas que la CNA lui ait imparti un délai approprié pour trouver une telle activité - on ignore s'il subirait ou non une perte de gain (cf. supra consid. 2). Les premiers juges, en effet, n'ont procédé à aucune comparaison des revenus.</w:t>
      </w:r>
    </w:p>
    <w:p>
      <w:r>
        <w:rPr>
          <w:b/>
        </w:rPr>
        <w:t>E. 3.6</w:t>
      </w:r>
    </w:p>
    <w:p>
      <w:r>
        <w:t>La cause sera par conséquent renvoyée à la CNA afin qu'elle mette en oeuvre une expertise au sens de l' art. 44 LPGA et qu'elle rende nouvelle décision sur le droit aux prestations de l'assuré. Dans cette mesure le recours est bien fondé.</w:t>
      </w:r>
    </w:p>
    <w:p>
      <w:r>
        <w:rPr>
          <w:b/>
        </w:rPr>
        <w:t>E. 4</w:t>
      </w:r>
    </w:p>
    <w:p>
      <w:r>
        <w:t>L'intimée qui succombe supportera les frais judiciaires ( art. 66 al. 1 LTF ). Le recourant, qui est représenté par les Syndicats chrétiens interprofessionnels du Valais, peut prétendre une indemnité de dépens à la charge de l'intimée ( art. 68 al. 1 LTF et art. 9 du règlement sur les dépens alloués à la partie adverse et sur l'indemnité pour la représentation d'office dans les causes portées devant le Tribunal fédéral, du 31 mars 2006 [RS 173.110.210.3]; cf. arrêt 8C_589/2009 du 28 juin 2010 consid. 5.2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