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250/2010 vom 29. Juli 2010</w:t>
      </w:r>
    </w:p>
    <w:p>
      <w:r>
        <w:t>Bundesgericht, 2010-07-29, DE</w:t>
      </w:r>
    </w:p>
    <w:p>
      <w:r>
        <w:rPr>
          <w:b/>
        </w:rPr>
        <w:t xml:space="preserve">Quelle: </w:t>
      </w:r>
      <w:r>
        <w:t>https://mcp.opencaselaw.ch/entscheid/bger_8C_250_2010</w:t>
      </w:r>
    </w:p>
    <w:p>
      <w:r>
        <w:t>FR: TF 8C 250/2010 du 29 juillet 2010</w:t>
      </w:r>
    </w:p>
    <w:p>
      <w:r>
        <w:t>IT: TF 8C 250/2010 del 29 luglio 2010</w:t>
      </w:r>
    </w:p>
    <w:p>
      <w:pPr>
        <w:pStyle w:val="Heading2"/>
      </w:pPr>
      <w:r>
        <w:t>Regeste</w:t>
      </w:r>
    </w:p>
    <w:p>
      <w:r>
        <w:t>Invalidenversicherung | Invalidenversicherung</w:t>
      </w:r>
    </w:p>
    <w:p>
      <w:pPr>
        <w:pStyle w:val="Heading2"/>
      </w:pPr>
      <w:r>
        <w:t>Erwägungen</w:t>
      </w:r>
    </w:p>
    <w:p>
      <w:r>
        <w:rPr>
          <w:b/>
        </w:rPr>
        <w:t>E. 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Der Beschwerdeführer rügt eine überlange Verfahrensdauer, eine Verletzung des Anspruchs auf rechtliches Gehör infolge Nichtabnahme der beantragten Beweismittel, einen zu tiefen Abzug vom Tabellenlohn und die Zugrundelegung einer zu hohen zumutbaren Arbeitsfähigkeit.</w:t>
      </w:r>
    </w:p>
    <w:p>
      <w:r>
        <w:rPr>
          <w:b/>
        </w:rPr>
        <w:t>E. 3.1</w:t>
      </w:r>
    </w:p>
    <w:p>
      <w:r>
        <w:t>Eine Rechtsverzögerung und damit eine Verletzung von Art. 29 Abs. 1 BV liegt vor, wenn eine Gerichts- oder Verwaltungsbehörde sich zwar bereit zeigt, einen Entscheid zu treffen, diesen aber nicht binnen der Frist fasst, welche nach der Natur der Sache und nach der Gesamtheit der übrigen Umstände als angemessen erscheint. Für die Rechtsuchenden ist es unerheblich, auf welche Gründe - ob auf ein Fehlverhalten der Behörden oder auf andere Umstände - die Rechtsverzögerung zurückzuführen ist; entscheidend ist ausschliesslich, dass die Behörde nicht fristgerecht handelt. Bei der Feststellung einer unrechtmässigen Rechtsverzögerung geht es deshalb um die Würdigung objektiver Gegebenheiten. Eine Rechtsverzögerung ist gegeben, wenn die Umstände, welche zur unangemessenen Verlängerung des Verfahrens führten, objektiv nicht gerechtfertigt sind. Ob sich die gegebene Verfahrensdauer mit dem Anspruch auf Rechtsschutz innert angemessener Frist verträgt oder nicht, ist am konkreten Einzelfall zu prüfen. Massgeblich ist namentlich die Art des Verfahrens, die Schwierigkeit der Materie und das Verhalten der Beteiligten (SVR 2001 IV Nr. 24 S. 73 E. 3b mit Hinweisen, I 436/00).</w:t>
      </w:r>
    </w:p>
    <w:p>
      <w:r>
        <w:rPr>
          <w:b/>
        </w:rPr>
        <w:t>E. 3.2</w:t>
      </w:r>
    </w:p>
    <w:p>
      <w:r>
        <w:t>Angesichts der aus ärztlicher Sicht durch die Operation zu erwartenden wesentlichen Steigerung der zumutbaren Arbeitsfähigkeit und des durch die fehlende Einwilligung des Versicherten um mehrere Jahre verzögerten Eingriffs ist nicht zu beanstanden, dass die IV-Stelle erst nach Durchführung der Operation und damit vier Jahre nach Einreichung des Leistungsgesuches die zumutbare Arbeitsfähigkeit bestimmte und über den Anspruch auf eine Invalidenrente entschied. In diesem Zusammenhang ist auch die Schadenminderungspflicht der versicherten Person von Bedeutung ( BGE 129 V 460 E. 4.2 S. 463 mit Hinweisen). Diese kann unter Umständen beinhalten, dass sich die versicherte Person einer zumutbaren Operation unterzieht (vgl. Urteil I 462/05 vom 16. August 2006 E. 6.1 und 6.2). Zudem musste dem Versicherten spätestens seit der Begutachtung durch Dr. med. C.________, welcher am 21. März 2006 auch ohne Operation eine zumutbare Arbeitsfähigkeit von 75 % in einer angepassten leichten Tätigkeit attestierte, klar sein, dass allein infolge seiner Arbeitsunfähigkeit im angestammten Beruf nicht mit Sicherheit mit Leistungen der Sozialversicherungen zu rechnen war, zumal der Hausarzt bereits in seinen Berichten vom 24. Februar und 3. Juni 2005 festhielt, bei erfolgreicher operativer Sanierung sollte wieder eine volle Arbeitsfähigkeit erreicht werden. Unter diesen Umständen kann somit nicht gesagt werden, es liege eine bundesrechtswidrige Verzögerung des Verfahrens vor.</w:t>
      </w:r>
    </w:p>
    <w:p>
      <w:r>
        <w:rPr>
          <w:b/>
        </w:rPr>
        <w:t>E. 4.1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370 mit Hinweisen).</w:t>
      </w:r>
    </w:p>
    <w:p>
      <w:r>
        <w:rPr>
          <w:b/>
        </w:rPr>
        <w:t>E. 4.2</w:t>
      </w:r>
    </w:p>
    <w:p>
      <w:r>
        <w:t>Der Versicherte sieht seinen Anspruch auf rechtliches Gehör verletzt, da die Vorinstanz seinem Antrag auf Einholung eines multidisziplinären Gutachtens sowie auf berufliche Abklärung in einer BEFAS nicht gefolgt war. Er legt jedoch weder dar, inwiefern er nebst der Bandscheibenproblematik noch an weiteren gesundheitlichen Beeinträchtigungen leidet noch weshalb eine Abklärung in einer BEFAS bessere Erkenntnisse bringen sollte als die ärztlichen Einschätzungen der zumutbaren Arbeitsfähigkeit in einer Verweisungstätigkeit. Die Vorinstanz hat in ihrem Entscheid zudem begründet, weshalb der Sachverhalt bezüglich der Verhältnisse bis zur gesundheitlichen Verschlechterung im Januar 2009 genügend abgeklärt und die Einholung weiterer Gutachten und Berichte unnötig sei. Das ist im Rahmen der grundsätzlich zulässigen antizipierten Beweiswürdigung, welche keinen Verstoss gegen Art. 29 Abs. 2 BV darstellt ( BGE 124 V 90 E. 4b S. 94; 122 V 157 E. 1d S. 162), nicht zu beanstanden.</w:t>
      </w:r>
    </w:p>
    <w:p>
      <w:r>
        <w:rPr>
          <w:b/>
        </w:rPr>
        <w:t>E. 5</w:t>
      </w:r>
    </w:p>
    <w:p>
      <w:r>
        <w:t>Nach den grundsätzlich verbindlichen Feststellungen der Vorinstanz (E. 1) ist dem Versicherten gestützt auf das Gutachten des Dr. med. C.________ vom 21. März 2006 und die Berichte des Zentrums Y.________ vom 29. November 2004, 16. August 2005 sowie vom 14. und 19. Mai 2008 und der Klinik X.________, vom 7. August und 4. September 2008 der angestammte Beruf zwar nicht mehr, eine angepasste Tätigkeit hingegen seit 13. Juni 2005 zu 75 % resp. seit 28. Juli 2008 voll zumutbar, was sich erst mit der im Januar 2009 gemeldeten Verschlechterung änderte. Was der Versicherte dagegen vorbringt, vermag im Rahmen der massgeblichen Kognition (E. 1) nicht durchzudringen. Die gegen das Gutachten des Dr. med. C.________ vorgebrachte Kritik hat die Vorinstanz mit einlässlicher und zutreffender Begründung widerlegt. Die Einwände gegen die u.a. gestützt auf das Gutachten des Dr. med. C.________ ermittelte zumutbare Arbeitsfähigkeit erschöpfen sich weitgehend in appellatorischer Kritik. Der Vorwurf, das kantonale Gericht habe sich in Verletzung der Offizialmaxime mit der Feststellung begnügt, die Ursachen der gescheiterten Arbeitsversuche seien nicht bekannt, ist unbehelflich, da die Arbeitsversuche allesamt an der angestammten, nach übereinstimmender ärztlicher Ansicht nicht mehr zumutbaren Arbeitsstelle erfolgten und damit für die Beurteilung der Zumutbarkeit einer angepassten Tätigkeit nicht aussagekräftig sind. Ebenfalls nicht stichhaltig ist der Einwand, es sei eine multidisziplinäre Begutachtung durchzuführen, da der Versicherte nicht darlegt, inwiefern die vorinstanzliche Annahme, aus versicherungsrechtlicher Sicht liege nur eine relevante Bandscheibenproblematik vor, bundesrechtswidrig sein soll, führt er doch keine weiteren, ärztlich ausgewiesene oder auch nur bloss als abklärungsbedürftig erachtete gesundheitlichen Beeinträchtigungen an. Weiter vermag er auch aus den Berichten des Dr. med. A.________ nichts zu seinen Gunsten abzuleiten, da sich dieser der Einschätzung der Klinik X.________ (vgl. Bericht vom 19. März 2009) anschloss und mehrmals festhielt, die geplante Operation sei notwendig und führe zu einer Verbesserung der Arbeitsfähigkeit (vgl. Berichte vom 24. Februar und 3. Juni 2005). Auch bezieht sich die von Dr. med. A.________ attestierte Arbeitsunfähigkeit jeweils auf die bisherige Arbeitsstelle, für die Ermittlung der Erwerbsunfähigkeit ist jedoch die Arbeitsfähigkeit in einer angepassten Tätigkeit massgebend. Schliesslich legt der Versicherte nicht dar, inwiefern die Gewährung eines leidensbedingten Abzugs vom Tabellenlohn von 10 % anstelle der beantragten 25 % eine rechtsfehlerhafte Ausübung des vorinstanzlichen Ermessens darstellt ( BGE 132 V 393 E. 3.3 S. 399).</w:t>
      </w:r>
    </w:p>
    <w:p>
      <w:r>
        <w:rPr>
          <w:b/>
        </w:rPr>
        <w:t>E. 6</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