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8C_24/2014 vom 12. Juni 2014</w:t>
      </w:r>
    </w:p>
    <w:p>
      <w:r>
        <w:t>Bundesgericht, 2014-06-12, DE</w:t>
      </w:r>
    </w:p>
    <w:p>
      <w:r>
        <w:rPr>
          <w:b/>
        </w:rPr>
        <w:t xml:space="preserve">Quelle: </w:t>
      </w:r>
      <w:r>
        <w:t>https://mcp.opencaselaw.ch/entscheid/bger_8C_24_2014</w:t>
      </w:r>
    </w:p>
    <w:p>
      <w:r>
        <w:t>FR: TF 8C_24/2014 du 12 juin 2014</w:t>
      </w:r>
    </w:p>
    <w:p>
      <w:r>
        <w:t>IT: TF 8C_24/2014 del 12 giugno 2014</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hingegen ist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Beim vorinstanzlichen Entscheid vom 29. Oktober 2013 handelt es sich um einen Rückweisungsentscheid und damit um einen Zwischenentscheid im Sinne von Art. 93 BGG (vgl. BGE 133 V 477 E. 4.2 S. 481 f.). Er kann einen nicht wieder gutzumachenden Nachteil für die Beschwerdeführerin bewirken, indem diese gehalten ist, über die Frage des Rentenanspruchs mit ihrer Ansicht nach rechtswidrigen materiellen Vorgaben (u.a. hinsichtlich Arbeitsfähigkeit) neu zu verfügen. Die Beschwerde ist daher im Lichte von Art. 93 Abs. 1 lit. a BGG zulässig. Die übrigen Eintretensvoraussetzungen sind ebenfalls erfüllt.</w:t>
      </w:r>
    </w:p>
    <w:p>
      <w:r>
        <w:rPr>
          <w:b/>
        </w:rPr>
        <w:t>E. 2</w:t>
      </w:r>
    </w:p>
    <w:p>
      <w:r>
        <w:t>Streitig ist, ob aus dem Unfall vom 13. Mai 2006 Anspruch auf weitere Leistungen der obligatorischen Unfallversicherung für den bestehenden Tinnitus besteht.</w:t>
      </w:r>
    </w:p>
    <w:p>
      <w:r>
        <w:rPr>
          <w:b/>
        </w:rPr>
        <w:t>E. 2.1</w:t>
      </w:r>
    </w:p>
    <w:p>
      <w:r>
        <w:t>Die Vorinstanz hat sich im hier angefochtenen Entscheid zunächst mit der Frage befasst, ob der Unfallversicherer im Einspracheentscheid vom 21. November 2012 die Frage der Unfallkausalität des Tinnitus prüfen durfte. Sie hat erwogen, sie habe diese Kausalität im vorangegangenen Entscheid vom 9. März 2011 formell rechtskräftig bejaht. Das könne daher im erneuten Verfahren nicht überprüft werden.</w:t>
      </w:r>
    </w:p>
    <w:p>
      <w:r>
        <w:rPr>
          <w:b/>
        </w:rPr>
        <w:t>E. 2.2</w:t>
      </w:r>
    </w:p>
    <w:p>
      <w:r>
        <w:t>Nach der Rechtsprechung sind sowohl die Verwaltung (hier der Unfallversicherer) als auch die Vorinstanz an die materiellen Vorgaben in einem Rückweisungsentscheid gebunden ( BGE 133 V 477 E. 5.2.3 S. 484; Urteil 8C_190/2011 vom 13. Februar 2012 E. 4, nicht publ. in: BGE 138 V 161 , aber in: SVR 2012 UV Nr. 14 S. 51). Das kantonale Gericht hat im Entscheid vom 9. März 2011 erkannt, der Tinnitus sei unfallkausal, und es hat die Sache zur medizinischen Abklärung der Arbeitsfähigkeit und zur Verfügung über den Rentenanspruch zurückgewiesen. Es durfte daher im hier angefochtenen Entscheid nicht von der Kausalitätsbeurteilung abweichen, sondern musste diese bestätigen. Es ist deshalb nicht ersichtlich, inwiefern es durch die Bestätigung seines ersten Rückweisungsentscheides Bundesrecht verletzt haben soll. Die Beschwerdeführerin muss sich den Entscheid vom 9. März 2011 entgegenhalten lassen. Damit ist aber auch gesagt, dass sie sich im Einspracheentscheid vom 21. November 2012 unzulässigerweise nicht an die materiellen Vorgaben im Entscheid vom 9. März 2011 gehalten hat. Eine andere Frage ist, ob der Rückweisungsentscheid vom 9. März 2011 bundesrechtskonform ist. Da dieser aber nicht angefochten wurde, können die entsprechenden materiellen Vorgaben beim Bundesgericht erst im Zusammenhang mit dem vorinstanzlichen Endentscheid angefochten werden, falls es zu einem solchen kommt ( Art. 93 Abs. 3 BGG ; BGE 133 V 477 E. 5.2.3 S. 484; erwähntes Urteil SVR 2012 UV Nr. 14 E. 4). Der hier angefochtene Entscheid ist kein Endentscheid (E. 1 hievor). Die Beschwerde ist daher abzuweisen, ohne dass in diesem Verfahrensstadium näher auf die Kausalitätsfrage einzugehen ist.</w:t>
      </w:r>
    </w:p>
    <w:p>
      <w:r>
        <w:rPr>
          <w:b/>
        </w:rPr>
        <w:t>E. 3</w:t>
      </w:r>
    </w:p>
    <w:p>
      <w:r>
        <w:t>Bei diesem Verfahrensausgang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