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8C_249/2025 vom 17. Juni 2025</w:t>
      </w:r>
    </w:p>
    <w:p>
      <w:r>
        <w:t>Bundesgericht, 2025-06-17, DE</w:t>
      </w:r>
    </w:p>
    <w:p>
      <w:r>
        <w:rPr>
          <w:b/>
        </w:rPr>
        <w:t xml:space="preserve">Quelle: </w:t>
      </w:r>
      <w:r>
        <w:t>https://mcp.opencaselaw.ch/entscheid/bger_8C_249_2025</w:t>
      </w:r>
    </w:p>
    <w:p>
      <w:r>
        <w:t>FR: TF 8C_249/2025 du 17 juin 2025</w:t>
      </w:r>
    </w:p>
    <w:p>
      <w:r>
        <w:t>IT: TF 8C_249/2025 del 17 giugno 2025</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Das kantonale Gericht legte im Urteil vom 27. März 2025 dar, weshalb es auf die gegen die Verfügung der Beschwerdegegnerin vom 14. Januar 2025 erhobene Beschwerde nicht eintrat (ausgebliebener Kostenvorschuss innert gesetzter Nachfrist).</w:t>
      </w:r>
    </w:p>
    <w:p>
      <w:r>
        <w:rPr>
          <w:b/>
        </w:rPr>
        <w:t>E. 3</w:t>
      </w:r>
    </w:p>
    <w:p>
      <w:r>
        <w:t>Inwiefern das vorinstanzliche Nichteintreten rechtsfehlerhaft sein soll, legt der Beschwerdeführer nicht ansatzweise dar. Allein ausserhalb davon Liegendes vorzutragen, zielt an der Sache vorbei.</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