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249/2022 vom 12. Oktober 2022</w:t>
      </w:r>
    </w:p>
    <w:p>
      <w:r>
        <w:t>Bundesgericht, 2022-10-12, DE</w:t>
      </w:r>
    </w:p>
    <w:p>
      <w:r>
        <w:rPr>
          <w:b/>
        </w:rPr>
        <w:t xml:space="preserve">Quelle: </w:t>
      </w:r>
      <w:r>
        <w:t>https://mcp.opencaselaw.ch/entscheid/bger_8C_249_2022</w:t>
      </w:r>
    </w:p>
    <w:p>
      <w:r>
        <w:t>FR: TF 8C 249/2022 du 12 octobre 2022</w:t>
      </w:r>
    </w:p>
    <w:p>
      <w:r>
        <w:t>IT: TF 8C 249/2022 del 12 ottobre 2022</w:t>
      </w:r>
    </w:p>
    <w:p>
      <w:pPr>
        <w:pStyle w:val="Heading2"/>
      </w:pPr>
      <w:r>
        <w:t>Regeste</w:t>
      </w:r>
    </w:p>
    <w:p>
      <w:r>
        <w:t>Invalidenversicherung (Invalidenrente; Revision)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2</w:t>
      </w:r>
    </w:p>
    <w:p>
      <w:r>
        <w:t>Strittig ist, ob die Vorinstanz Bundesrecht verletzte, indem sie die Revisionsverfügung der IV-Stelle vom 12. Oktober 2020 bestätigte, wonach es bei einem unveränderten Invaliditätsgrad von 50% und folglich beim Anspruch auf eine halbe Invalidenrente bleibe.</w:t>
      </w:r>
    </w:p>
    <w:p>
      <w:r>
        <w:rPr>
          <w:b/>
        </w:rPr>
        <w:t>E. 2.1</w:t>
      </w:r>
    </w:p>
    <w:p>
      <w:r>
        <w:t>Am 1. Januar 2022 trat das revidierte Bundesgesetz über die Invalidenversicherung (IVG; SR 831.20) in Kraft (Weiterentwicklung der IV [WEIV]; Änderung vom 19. Juni 2020, AS 2021 705, BBl 2017 2535). Die dem hier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2.2</w:t>
      </w:r>
    </w:p>
    <w:p>
      <w:r>
        <w:t>Unbestritten blieb die vorinstanzliche Feststellung des revisionsrechtlich massgebenden Vergleichszeitraums zwischen dem 26. März 2019 und dem 12. Oktober 2020. Weiter anerkennt die Beschwerdeführerin ausdrücklich, dass sie laut Sachverhaltsfeststellung gemäss angefochtenem Entscheid nach Massgabe des insoweit beweiskräftigen Medexperts-Gutachtens in einer leidensangepassten Tätigkeit zu 50% arbeitsfähig ist. Zudem stimmt die Beschwerdeführerin der vorinstanzlichen Sachverhaltsfeststellung insoweit zu, als sie aus gesundheitlichen Gründen mangels "Ausbildungsfähigkeit" weder umschulungs- noch weiterbildungsfähig sei. Sowohl die Validen- als auch die Invalidenkarriere der Beschwerdeführerin seien deshalb bisher zu Recht nach der als ideal angepasst qualifizierten angestammten Tätigkeit bemessen worden.</w:t>
      </w:r>
    </w:p>
    <w:p>
      <w:r>
        <w:rPr>
          <w:b/>
        </w:rPr>
        <w:t>E. 3</w:t>
      </w:r>
    </w:p>
    <w:p>
      <w:r>
        <w:t>Vor Bundesgericht bleibt laut Beschwerdeführerin einzig zu prüfen, ob die Vorinstanz das Willkürverbot verletzte, indem sie feststellte, die von der Beschwerdeführerin schon vor Eintritt des Gesundheitsschadens - und nach Aktenlage bis zum heutigen Zeitpunkt - bei ein und derselben Arbeitgeberin ausgeübte angestammte Tätigkeit als Chemielaborantin sei leidensadaptiert.</w:t>
      </w:r>
    </w:p>
    <w:p>
      <w:r>
        <w:rPr>
          <w:b/>
        </w:rPr>
        <w:t>E. 3.1.1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BGE 148 V 174 E. 6.1).</w:t>
      </w:r>
    </w:p>
    <w:p>
      <w:r>
        <w:rPr>
          <w:b/>
        </w:rPr>
        <w:t>E. 3.1.2</w:t>
      </w:r>
    </w:p>
    <w:p>
      <w:r>
        <w:t>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 BGE 144 I 103 E. 5.3; 135 V 58 E. 3.1; vgl. auch BGE 135 V 297 E. 5.1, 134 V 322 E. 4.1).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 BGE 148 V 174 E. 6.2; 135 V 297 E. 5.2; SVR 2014 IV Nr. 37 S. 130, 8C_7/2014 E. 7.1; Urteil 8C_269/2020 vom 15. Februar 2021 E. 3.2 mit Hinweis).</w:t>
      </w:r>
    </w:p>
    <w:p>
      <w:r>
        <w:rPr>
          <w:b/>
        </w:rPr>
        <w:t>E. 3.1.3</w:t>
      </w:r>
    </w:p>
    <w:p>
      <w:r>
        <w:t>In erwerblicher Hinsicht hat das kantonale Gericht den Invaliditätsgrad - ausgehend von einer Arbeitsfähigkeit von 50% in der angestammten und weiterhin ausgeübten Tätigkeit - auf 50% festgelegt und folglich den mit Revisionsverfügung vom 12. Oktober 2020 bestätigten unveränderten Anspruch auf eine halbe Invalidenrente geschützt. Damit hat es einen Prozentvergleich vorgenommen (Urteil 8C_296/2020 vom 25. November 2020 E. 6.1; vgl. auch Urteil 8C_536/2017 vom 5. März 2018 E. 5.3).</w:t>
      </w:r>
    </w:p>
    <w:p>
      <w:r>
        <w:rPr>
          <w:b/>
        </w:rPr>
        <w:t>E. 3.2</w:t>
      </w:r>
    </w:p>
    <w:p>
      <w:r>
        <w:t>Die auch von der Beschwerdeführerin ausdrücklich anerkannte Arbeitsfähigkeit von 50% in einer leidensadaptierten Tätigkeit gemäss angefochtenem Entscheid beruht auf dem - zumindest insoweit - beweiskräftigen Medexperts-Gutachten. Inwiefern die Vorinstanz das Willkürverbot verletzte, indem sie die angestammte und weiterhin ausgeübte Tätigkeit als Chemielaborantin - wie bereits anlässlich der letztmaligen, revisionsrechtlich massgebenden Überprüfung des Rentenanspruchs - als leidensadaptiert bezeichnete, legt die Beschwerdeführerin nicht in rechtsgenüglicher Weise dar.</w:t>
      </w:r>
    </w:p>
    <w:p>
      <w:r>
        <w:rPr>
          <w:b/>
        </w:rPr>
        <w:t>E. 3.2.1</w:t>
      </w:r>
    </w:p>
    <w:p>
      <w:r>
        <w:t>Die Medexperts-Gutachter kannten nicht nur das gestützt auf Angaben der Arbeitgeberin im Rahmen der Abklärungen zum letztmaligen Revisionsgesuch vom 16. Februar 2018 ermittelte Anforderungsprofil der angestammten Arbeitsstelle als Chemielaborantin. Sie hielten zudem eingangs des Medexperts-Gutachtens ausdrücklich fest, die Beschwerdeführerin habe ihren Beschäftigungsgrad an der angestammten Arbeitsstelle per 1. Oktober 2019 - angeblich gesundheitsbedingt - von einem 50%- auf ein 20%-Pensum reduzieren müssen. In Anbetracht dieser Fakten gelangten die Medexperts-Gutachter anlässlich der interdisziplinären Gesamtbeurteilung gestützt auf ihre fachärztlichen Explorationen vom 8. und 9. Juni 2020 zu einer ausführlich und differenziert formulierten Beschreibung einer angepassten Tätigkeit, in welcher die Beschwerdeführerin - unbestritten - zu 50% arbeitsfähig sei. Gleichzeitig attestierten die Gutachter der Beschwerdeführerin "in der angestammten und aktuell [...] ausgeübten beruflichen Tätigkeit als Chemielaborantin eine Arbeitsfähigkeit von 50%". Diese Arbeit entspreche weitgehend einer ideal angepassten Tätigkeit. Schliesslich hat sich nach Überzeugung der Medexperts-Gutachter die Arbeitsfähigkeit der Beschwerdeführerin seit September 2018 weder hinsichtlich der angestammten noch in Bezug auf eine leidensangepasste Tätigkeit verändert, sondern verblieb vielmehr bei 50%.</w:t>
      </w:r>
    </w:p>
    <w:p>
      <w:r>
        <w:rPr>
          <w:b/>
        </w:rPr>
        <w:t>E. 3.2.2</w:t>
      </w:r>
    </w:p>
    <w:p>
      <w:r>
        <w:t>Was die Beschwerdeführerin unter Berufung auf die von ihr nachträglich im kantonalen Beschwerdeverfahren eingeholten Angaben der Arbeitgeberin vom 6. Januar 2021 geltend macht, vermag keine Willkür der vorinstanzlichen Beweiswürdigung zu begründen (vgl. E. 1.2 hiervor). Dass sich das 2018 ermittelte Anforderungsprofil der angestammten Arbeitsstelle (vgl. E. 3.2.1 hiervor) seither verändert hätte, ist nicht ersichtlich und legt die Beschwerdeführerin nicht dar. Vielmehr argumentiert sie in appellatorischer Weise, die Gutachter hätten angesichts der von ihnen selber formulierten Adaptationskriterien hinsichtlich einer leidensangepassten Tätigkeit mit Blick auf die angestammte Tätigkeit als Chemielaborantin feststellen müssen, dass es sich bei der Letzteren nicht mehr um eine leidensangepasste Tätigkeit handle. Dass die Gutachter anlässlich ihrer fachärztlichen Exploration nicht lege artis vorgegangen und/oder wesentliche Tatsachen bei der Beurteilung des zumutbaren Leistungsvermögens übersehen hätten, ist ebenfalls nicht ersichtlich und zeigt die Beschwerdeführerin auch nicht auf.</w:t>
      </w:r>
    </w:p>
    <w:p>
      <w:r>
        <w:rPr>
          <w:b/>
        </w:rPr>
        <w:t>E. 3.3</w:t>
      </w:r>
    </w:p>
    <w:p>
      <w:r>
        <w:t>Nach dem Gesagten ist die vorinstanzliche Beweiswürdigung nicht als willkürlich zu beanstanden. Gestützt auf das beweiskräftige Medexperts-Gutachten schloss das kantonale Gericht daher zutreffend auf eine weiterhin 50%-ige Arbeitsfähigkeit der Beschwerdeführerin in einer leidensadaptierten und der angestammten, fortgesetzt ausgeübten Tätigkeit als Chemielaborantin. Soweit es im Ergebnis für die Pensumsreduktion von 50% auf 20% per 1. Oktober 2019 keine invalidenversicherungsrechtlich relevanten Gründe erkannte, ist der angefochtene Entscheid nicht zu beanstanden. Folglich hat es bei der vorinstanzlich bestätigten Abweisung des Rentenerhöhungsgesuches vom 3. Dezember 2019 sein Bewenden.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