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8C_249/2021 vom 12. April 2021</w:t>
      </w:r>
    </w:p>
    <w:p>
      <w:r>
        <w:t>Bundesgericht, 2021-04-12, DE</w:t>
      </w:r>
    </w:p>
    <w:p>
      <w:r>
        <w:rPr>
          <w:b/>
        </w:rPr>
        <w:t xml:space="preserve">Quelle: </w:t>
      </w:r>
      <w:r>
        <w:t>https://mcp.opencaselaw.ch/entscheid/bger_8C_249_2021</w:t>
      </w:r>
    </w:p>
    <w:p>
      <w:r>
        <w:t>FR: TF 8C_249/2021 du 12 avril 2021</w:t>
      </w:r>
    </w:p>
    <w:p>
      <w:r>
        <w:t>IT: TF 8C_249/2021 del 12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8C_249/2021</w:t>
      </w:r>
    </w:p>
    <w:p>
      <w:r>
        <w:t>Urteil vom 12. April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Schweizerische Konferenz</w:t>
      </w:r>
    </w:p>
    <w:p>
      <w:r>
        <w:t>der kantonalen Erziehungsdirektoren,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Rechtsanwalt Cristian Torrado,</w:t>
      </w:r>
    </w:p>
    <w:p>
      <w:r>
        <w:t>Beschwerdegegner.</w:t>
      </w:r>
    </w:p>
    <w:p>
      <w:r>
        <w:t>Gegenstand</w:t>
      </w:r>
    </w:p>
    <w:p>
      <w:r>
        <w:t>Öffentliches Personalrecht (Prozessvoraussetzung),</w:t>
      </w:r>
    </w:p>
    <w:p>
      <w:r>
        <w:t>Beschwerde gegen den Entscheid des Verwaltungsgerichts des Kantons Bern</w:t>
      </w:r>
    </w:p>
    <w:p>
      <w:r>
        <w:t>vom 16. Februar 2021 (100.2020.402U).</w:t>
      </w:r>
    </w:p>
    <w:p>
      <w:r>
        <w:t>Nach Einsicht</w:t>
      </w:r>
    </w:p>
    <w:p>
      <w:r>
        <w:t>in die Beschwerde vom 29. März 2021 gegen den Entscheid des Verwaltungsgerichts des Kantons Bern vom 16. Februar 2021,</w:t>
      </w:r>
    </w:p>
    <w:p>
      <w:r>
        <w:t>in Erwägung,</w:t>
      </w:r>
    </w:p>
    <w:p>
      <w:r>
        <w:t>dass das Bundesgericht die Eintretensvoraussetzungen von Amtes wegen und mit freier Kognition prüft ( BGE 146 V 331 E. 1 S. 333; 145 V 380 E. 1 S. 382), worunter auch die Rechtzeitigkeit der Beschwerde fällt,</w:t>
      </w:r>
    </w:p>
    <w:p>
      <w:r>
        <w:t>dass die Rechtsmittelfrist eingehalten ist, wenn die Beschwerde innert 30 Tagen seit Eröffnung der vollständigen Ausfertigung des Entscheids beim Bundesgericht eingereicht wird ( Art. 100 Abs. 1 BGG ),</w:t>
      </w:r>
    </w:p>
    <w:p>
      <w:r>
        <w:t>dass Entscheide als eröffnet gelten, wenn sie ordnungsgemäss zugestellt sind und die betroffene Person davon Kenntnis nehmen kann (statt vieler: Urteil 2C_463/2019 vom 8. Juni 2019 E. 3.2.2), wobei nicht erforderlich ist, dass der Empfänger die Sendung tatsächlich in Empfang nimmt ( BGE 145 IV 252 E. 1.3.2 S. 254; 144 IV 57 E. 2.3.2 S. 62; 142 III 599 E. 2.4.1 S. 603; je mit Hinweisen); dies gilt selbstredend ungeachtet der Art der Zustellung,</w:t>
      </w:r>
    </w:p>
    <w:p>
      <w:r>
        <w:t>dass nach ständiger bundesgerichtlicher Rechtsprechung eine Sendung als zugestellt gilt, wenn sie in den Machtbereich des Empfängers gelangt ( BGE 145 IV 252 E. 1.3.2 S. 254; 144 IV 57 E. 2.3.2 S. 62; 142 III 599 E. 2.4.1 S. 603; je mit Hinweisen),</w:t>
      </w:r>
    </w:p>
    <w:p>
      <w:r>
        <w:t>dass das Postfach des Empfängers dessen Machtbereich zuzurechnen ist (vgl. statt vieler: Urteil 8C_604/2019 vom 18. Oktober 2019 E. 5.2),</w:t>
      </w:r>
    </w:p>
    <w:p>
      <w:r>
        <w:t>dass der hier angefochtene Entscheid der Beschwerdeführerin gemäss dem auch ihr jederzeit zugänglichen Auszug des elektronischen Suchsystems "Track &amp; Trace" der Schweizerischen Post am 24. Februar 2021 ins Postfach gelegt wurde, womit die Beschwerdefrist gemäss Art. 44 Abs. 1 BGG am folgenden Tag zu laufen begonnen hat und nach Art. 100 Abs. 1 BGG i.V.m. Art. 45-48 BGG am 26. März 2021 abgelaufen ist,</w:t>
      </w:r>
    </w:p>
    <w:p>
      <w:r>
        <w:t>dass sich dergestalt die erst am 29. März 2021 der Schweizerischen Post übergebene Beschwerde als offensichtlich verspätet erweist,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Verwaltungsrechtliche Abteilung, und der Rekurskommission EDK/GDK schriftlich mitgeteilt.</w:t>
      </w:r>
    </w:p>
    <w:p>
      <w:r>
        <w:t>Luzern, 12. April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