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8C_248/2014 vom 29. August 2014</w:t>
      </w:r>
    </w:p>
    <w:p>
      <w:r>
        <w:t>Bundesgericht, 2014-08-29, DE</w:t>
      </w:r>
    </w:p>
    <w:p>
      <w:r>
        <w:rPr>
          <w:b/>
        </w:rPr>
        <w:t xml:space="preserve">Quelle: </w:t>
      </w:r>
      <w:r>
        <w:t>https://mcp.opencaselaw.ch/entscheid/bger_8C_248_2014</w:t>
      </w:r>
    </w:p>
    <w:p>
      <w:r>
        <w:t>FR: TF 8C_248/2014 du 29 août 2014</w:t>
      </w:r>
    </w:p>
    <w:p>
      <w:r>
        <w:t>IT: TF 8C_248/2014 del 29 agosto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Die Beachtung des Untersuchungsgrundsatzes und der Beweiswürdigungsregeln nach Art. 61 lit. c ATSG sind Rechtsfragen ( BGE 132 V 393 E. 3.2 und 4 S. 397 ff.), die das Bundesgericht im Rahmen der den Parteien obliegenden Begründungs- bzw. Rügepflicht ( Art. 42 Abs. 2 und Art. 106 Abs. 2 BGG ; BGE 133 II 249 E. 1.4.1 und 1.4.2 S. 254) frei überprüfen kann, wendet doch das Bundesgericht das Recht von Amtes wegen an ( Art. 106 Abs. 1 BGG ). Soweit die Beurteilung der Zumutbarkeit von Arbeitsleistungen auf die allgemeine Lebenserfahrung gestützt wird, geht es ebenfalls um eine Rechtsfrage ( BGE 132 V 393 E. 3.2 S. 397 ff.; Urteil 9C_133/2011 vom 29. April 2011 E. 1). Rechtsfrage ist ferner, nach welchen Gesichtspunkten die Entscheidung über die Verwertbarkeit der Restarbeitsfähigkeit erfolgt (Urteil 9C_190/2009 vom 11. Mai 2009 E. 3.3).</w:t>
      </w:r>
    </w:p>
    <w:p>
      <w:r>
        <w:rPr>
          <w:b/>
        </w:rPr>
        <w:t>E. 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459 mit Hinweisen).</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den Zeitpunkt, in welchem die Frage der Verwertbarkeit der Restarbeitsfähigkeit bei vorgerücktem Alter beantwortet wird, ist auf das Feststehen der medizinischen Zumutbarkeit der (Teil-) Erwerbsfähigkeit abzustellen ( BGE 138 V 457 E. 3.3 S. 461).</w:t>
      </w:r>
    </w:p>
    <w:p>
      <w:r>
        <w:rPr>
          <w:b/>
        </w:rPr>
        <w:t>E. 3</w:t>
      </w:r>
    </w:p>
    <w:p>
      <w:r>
        <w:t>Der Versicherte rügt u.a., entgegen der vorinstanzlichen Annahme sei die Verwertung der ihm für angepasste Tätigkeiten attestierten vollen Arbeitsfähigkeit angesichts der konkreten Umstände nicht zumutbar.</w:t>
      </w:r>
    </w:p>
    <w:p>
      <w:r>
        <w:t>Dieser Einwand ist berechtigt. Denn der kantonale Entscheid enthält keine überzeugende Begründung zur (vom Bundesgericht frei überprüfbaren, vgl. E. 1.3) Rechtsfrage der wirtschaftlichen Verwertung der Restarbeitsfähigkeit. Bereits bezüglich des Alters kann der Vorinstanz nicht gefolgt werden: Einerseits ist der Versicherte (58 Jahre) im massgeblichen Zeitpunkt bedeutend älter als die versicherte Person (52 Jahre) in dem von der Vorinstanz als Vergleich herangezogenen Urteil 8C_831/2013 vom 24. Januar 2014. In diesem Zusammenhang übersieht die Vorinstanz auch, dass die 52-jährige versicherte Person über eine Ausbildung sowie Berufserfahrung in administrativen Tätigkeiten aufwies und ihr auch weiterhin Bürotätigkeiten zumutbar waren, wohingegen der Versicherte nicht mehr in seiner angestammten Arbeit tätig sein kann und auch limitierte Ressourcen für einen Wechsel zu Arbeiten ohne Einsatz der Hände mit sich bringt. Insbesondere aber vermag der blosse Verweis der Vorinstanz, wonach Überwachungsfunktionen eine stetig wachsende Bedeutung zukomme, den einlässlich begründeten Einwand des Versicherten nicht zu entkräften. Denn einerseits bezieht sich die zitierte Passage nicht nur auf reine Überwachungsarbeiten, sondern allgemein auf körperlich nicht stark belastende Bedienungs- und Überwachungsfunktionen, also auch auf leichte Maschinenbedienung, leichte Sortier-, Prüf- und Verpackungsarbeiten, welche den Einsatz der Hände voraussetzen (vgl. Urteil 8C_589/2008 vom 5. Februar 2009 E. 5.2 mit Hinweisen). Andererseits legt die Vorinstanz nicht dar, inwiefern es auf dem ausgeglichenen Arbeitsmarkt tatsächlich Stellen gibt, welche dem Versicherten zumutbar sind, kann er doch unbestrittenermassen seine beiden Hände nicht mehr einsetzen (kein Tragen oder Heben, auch nicht von leichten Gewichten; keine Arbeiten mit Anforderungen an die Grob- oder Feinmotorik, keine Halte- oder Greifbewegungen bzw. grundsätzlich keinerlei, auch nur leichte manuelle Tätigkeiten; rheumatologisches Teilgutachten vom 9. Dezember 2012). Namentlich ist dem vorinstanzlichen Entscheid nicht zu entnehmen, weshalb dem Versicherten die Verwertbarkeit seiner Restarbeitsfähigkeit trotz der grossen Limitierung im manuellen Bereich zumutbar ist, obwohl nach der Rechtsprechung die faktische Einhändigkeit oder eine massgebliche Beschränkung der dominanten Hand auf Zudienfunktionen eine erheblich erschwerte Verwertbarkeit der Arbeitsfähigkeit bedeuten (vgl. Urteil 8C_819/2010 vom 7. April 2011 E. 6.4.1 mit Hinweisen). Zwar erachtet das Bundesgericht auch in diesen Fällen leichte Bedienungs- und Überwachungsfunktionen für faktisch Einarmige noch als zumutbar, setzt dazu aber den Einsatz der anderen Hand voraus, was beim Versicherten jedoch nicht mehr möglich ist. Demnach ist angesichts der grossen Einschränkungen an zumutbaren Tätigkeiten davon auszugehen, dass entsprechende Stellen auf dem ausgeglichen Arbeitsmarkt kaum vorhanden und daher bloss theoretischer Natur sind (vgl. Urteil 8C_589/2008 vom 5. Februar 2009 E. 5.2 mit Hinweisen).</w:t>
      </w:r>
    </w:p>
    <w:p>
      <w:r>
        <w:t>Es ist demnach davon auszugehen, dass die Verwertbarkeit der verbleibenden Arbeitsfähigkeit auch unter Berücksichtigung eines ausgeglichenen Arbeitsmarktes nicht gegeben ist, so dass von einer vollen Erwerbsunfähigkeit auszugehen ist und er somit ab 1. Oktober 2012 (vgl. dazu das Gutachten des Medizinischen Zentrums B.________ vom 29. Januar 2013, welches eine eingeschränkte Arbeitsfähigkeit seit 10. Oktober 2011 attestiert) Anspruch auf eine ganze Invalidenrente hat. Dadurch werden Massnahmen zur Wiedereingliederung im Sinne von Art. 8a IVG nicht ausgeschlossen.</w:t>
      </w:r>
    </w:p>
    <w:p>
      <w:r>
        <w:rPr>
          <w:b/>
        </w:rPr>
        <w:t>E. 4</w:t>
      </w:r>
    </w:p>
    <w:p>
      <w:r>
        <w:t>Bei diesem Ergebnis kann offen bleiben, ob nicht bereits gestützt auf Art. 112 BGG eine Rückweisung an die Vorinstanz zu erfolgen hätte, weil der kantonale Entscheid, welcher trotz der komplexen materiellen Fragen im "dass"-Stil verfasst wurde (vgl. dazu auch ZR 111 [2012] Nr. 74 S. 214 E. 4), den Anforderungen an einen vorinstanzlichen Entscheid nicht genügt.</w:t>
      </w:r>
    </w:p>
    <w:p>
      <w:r>
        <w:rPr>
          <w:b/>
        </w:rPr>
        <w:t>E. 5</w:t>
      </w:r>
    </w:p>
    <w:p>
      <w:r>
        <w:t>Das Verfahren ist kostenpflichtig. Die unterliegende IV-Stelle hat die Gerichtskosten zu tragen ( Art. 66 Abs. 1 BGG ). Der Versicherte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