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8C_247/2023 vom 8. September 2023</w:t>
      </w:r>
    </w:p>
    <w:p>
      <w:r>
        <w:t>Bundesgericht, 2023-09-08, DE</w:t>
      </w:r>
    </w:p>
    <w:p>
      <w:r>
        <w:rPr>
          <w:b/>
        </w:rPr>
        <w:t xml:space="preserve">Quelle: </w:t>
      </w:r>
      <w:r>
        <w:t>https://mcp.opencaselaw.ch/entscheid/bger_8C_247_2023</w:t>
      </w:r>
    </w:p>
    <w:p>
      <w:r>
        <w:t>FR: TF 8C_247/2023 du 8 septembre 2023</w:t>
      </w:r>
    </w:p>
    <w:p>
      <w:r>
        <w:t>IT: TF 8C_247/2023 del 8 settembre 2023</w:t>
      </w:r>
    </w:p>
    <w:p>
      <w:pPr>
        <w:pStyle w:val="Heading2"/>
      </w:pPr>
      <w:r>
        <w:t>Erwägungen</w:t>
      </w:r>
    </w:p>
    <w:p>
      <w:r>
        <w:rPr>
          <w:b/>
        </w:rPr>
        <w:t>E. 1</w:t>
      </w:r>
    </w:p>
    <w:p>
      <w:r>
        <w:t>Das Bundesgericht prüft von Amtes wegen und mit freier Kognition, ob ein Rechtsmittel zulässig ist ( Art. 29 Abs. 1 BGG ; BGE 145 V 380 E. 1 Ingress mit Hinweis).</w:t>
      </w:r>
    </w:p>
    <w:p>
      <w:r>
        <w:rPr>
          <w:b/>
        </w:rPr>
        <w:t>E. 1.1</w:t>
      </w:r>
    </w:p>
    <w:p>
      <w:r>
        <w:t>Beim angefochtenen Entscheid handelt es sich um einen Rückweisungsentscheid. Die IV-Stelle wird darin angewiesen, auf die Neuanmeldung der Beschwerdegegnerin einzutreten und deren Begehren um berufliche Massnahmen materiell zu prüfen.</w:t>
      </w:r>
    </w:p>
    <w:p>
      <w:r>
        <w:rPr>
          <w:b/>
        </w:rPr>
        <w:t>E. 1.2</w:t>
      </w:r>
    </w:p>
    <w:p>
      <w:r>
        <w:t>Gemäss Rechtsprechung besteht in Fällen wie dem Vorliegenden kein nicht wiedergutzumachender Nachteil im Sinne von Art. 93 Abs. 1 lit. a BGG (SVR 2009 IV Nr. 14 S. 35, 9C_898/2007 E. 2.1; Urteile 8C_661/2022 vom 26. Juni 2023 E. 3.5; 9C_9/2022 vom 8. März 2022 E. 3.2.1; 9C_287/2020 vom 22. September 2020 E. 1.2.1; 8C_91/2019 vom 16. April 2019 E. 2.3). Denn die beschwerdeführende IV-Stelle wird lediglich angewiesen, auf die Neuanmeldung einzutreten und das Leistungsbegehren materiell zu behandeln. Verbindliche Anordnungen für die Durchführung dieser materiellrechtlichen Behandlung sind jedoch mit der Rückweisung nicht verknüpft (vgl. BGE 140 V 282 ). Der Rückweisungsentscheid führt damit bloss zu einer Verlängerung und Verteuerung des Verfahrens, was indes das Kriterium des nicht wiedergutzumachenden Nachteils praxisgemäss nicht erfüllt ( BGE 140 V 282 E. 4.2 in fine mit Hinweisen). Ebenso wenig ist damit das Merkmal des bedeutenden Verfahrensaufwands gemäss Art. 93 Abs. 1 lit. b BGG gegeben (Urteil 9C_287/2020 vom 22. September 2020 E. 1.2.1 mit Hinweisen).</w:t>
      </w:r>
    </w:p>
    <w:p>
      <w:r>
        <w:rPr>
          <w:b/>
        </w:rPr>
        <w:t>E. 1.3</w:t>
      </w:r>
    </w:p>
    <w:p>
      <w:r>
        <w:t>Im zur Publikation vorgesehenen Urteil 8C_661/2022 vom 26. Juni 2023 wich das Bundesgericht vom Prinzip der Nichtanhandnahme direkter Beschwerden gegen ungerechtfertigte Rückweisungsentscheide ab, da die Vorinstanz entgegen der langjährigen bundesgerichtlichen Rechtsprechung in mehreren Fällen entschieden hatte, auf Neuanmeldungen betreffend berufliche Massnahmen Art. 87 Abs. 3 IVV nicht anzuwenden. Eine strikte Einzelfallbehandlung der Eintretensvoraussetzungen hätte es verunmöglicht, die Fehlpraxis der Vorinstanz zu korrigieren, weshalb das Bundesgericht auf die Beschwerde der IV-Stelle eintrat (vgl. E. 3.6.4 und E. 3.4 des zitierten Urteils). Aus den gleichen Gründen ist auch hier auf die Beschwerde der IV-Stelle einzutreten, ist doch die Ausgangslage identisch mit derjenigen im zitierten Urteil.</w:t>
      </w:r>
    </w:p>
    <w:p>
      <w:r>
        <w:rPr>
          <w:b/>
        </w:rPr>
        <w:t>E. 2.1</w:t>
      </w:r>
    </w:p>
    <w:p>
      <w:r>
        <w:t>Streitig und zu prüfen ist, ob die Vorinstanz Bundesrecht verletzte, indem sie die IV-Stelle verpflichtete, auf das Gesuch der Beschwerdegegnerin um berufliche Massnahmen einzutreten.</w:t>
      </w:r>
    </w:p>
    <w:p>
      <w:r>
        <w:rPr>
          <w:b/>
        </w:rPr>
        <w:t>E. 2.2</w:t>
      </w:r>
    </w:p>
    <w:p>
      <w:r>
        <w:t>Der Nichteintretensentscheid der IV-Stelle in Bezug auf das Rentenbegehren blieb unangefochten, weshalb die Vorinstanz darauf nicht weiter einging. Auf Weiterungen kann auch hier verzichtet werden.</w:t>
      </w:r>
    </w:p>
    <w:p>
      <w:r>
        <w:rPr>
          <w:b/>
        </w:rPr>
        <w:t>E. 2.3</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w:t>
      </w:r>
    </w:p>
    <w:p>
      <w:r>
        <w:t>Da die massgebenden Bestimmungen betreffend Voraussetzung des Glaubhaftmachens einer Änderung des Gesundheitszustands (Art. 87 Abs. 2 f. IVV [SR 831.201]) unverändert geblieben sind, stellen sich diesbezüglich keine intertemporalrechtlichen Fragen.</w:t>
      </w:r>
    </w:p>
    <w:p>
      <w:r>
        <w:rPr>
          <w:b/>
        </w:rPr>
        <w:t>E. 3.1</w:t>
      </w:r>
    </w:p>
    <w:p>
      <w:r>
        <w:t>Im bereits zitierten, zur Publikation vorgesehenen Urteil 8C_661/2022 vom 26. Juni 2023 gelangte das Bundesgericht zum Schluss, es bestünden keine triftigen Gründe für eine Abkehr von der langjährigen und konstanten Rechtsprechung, wonach auch bei einer Neuanmeldung für Eingliederungsmassnahmen eine anspruchserhebliche Änderung der tatsächlichen Verhältnisse glaubhaft zu machen ist. Das gilt auch im hier zu beurteilenden Fall. Indem die Vorinstanz entschieden hat, auf eine Neuanmeldung für Eingliederungsmassnahmen nach vorgängiger rechtskräftiger Abweisung des Leistungsgesuchs sei voraussetzungslos einzutreten, hat sie Bundesrecht verletzt. Es kann auf die Erwägungen im Urteil 8C_661/2022 vom 26. Juni 2023 verwiesen werden.</w:t>
      </w:r>
    </w:p>
    <w:p>
      <w:r>
        <w:rPr>
          <w:b/>
        </w:rPr>
        <w:t>E. 3.2</w:t>
      </w:r>
    </w:p>
    <w:p>
      <w:r>
        <w:t>Auf eine Rückweisung der Sache zur Prüfung der Frage einer glaubhaft gemachten wesentlichen Veränderung der tatsächlichen Verhältnisse kann vorliegend - anders als im Urteil 8C_661/2022 vom 26. Juni 2023 - verzichtet werden. Denn die Beschwerdegegnerin hat weder im Anschluss an das Schreiben der IV-Stelle vom 15. Juni 2022 (vgl. Sachverhalt A.b) noch im Vorbescheidverfahren Unterlagen eingereicht, welche eine solche Veränderung hätten glaubhaft machen können. Da für die beschwerdeweise Überprüfung einer Nichteintretensverfügung der Sachverhalt massgebend ist, wie er sich der Verwaltung im Zeitpunkt des Erlasses der Verfügung darstellte, kann der im kantonalen Beschwerdeverfahren eingereichte Bericht des Allgemeinmediziners Dipl. med. C.________ vom 28. Oktober 2022 für die Beurteilung der anspruchserheblichen Veränderung nicht berücksichtigt werden, wie auch die Vorinstanz zutreffend erkannt hat ( BGE 130 V 64 E. 5.2.5; Urteil 8C_481/2020 vom 15. Dezember 2020 E. 4.1.3). Dasselbe gilt für die Stellungnahme desselben Arztes vom 30. Mai 2023 und den Bericht des Dr. med. D.________ vom 7. Juni 2023. Die beiden Beweismittel sind vorliegend auch deshalb nicht zu beachten, weil sie nach dem angefochtenen Entscheid entstanden sind (sog. echte Noven; vgl. Art. 99 Abs. 1 BGG ; BGE 143 V 19 E. 1.2 mit Hinweisen).</w:t>
      </w:r>
    </w:p>
    <w:p>
      <w:r>
        <w:rPr>
          <w:b/>
        </w:rPr>
        <w:t>E. 3.3</w:t>
      </w:r>
    </w:p>
    <w:p>
      <w:r>
        <w:t>Nach dem Gesagten ist die IV-Stelle zu Recht nicht auf die Neuanmeldung der Beschwerdegegnerin betreffend Eingliederungsmassnahmen eingetreten. Ihre Beschwerde ist begründet.</w:t>
      </w:r>
    </w:p>
    <w:p>
      <w:r>
        <w:rPr>
          <w:b/>
        </w:rPr>
        <w:t>E. 4</w:t>
      </w:r>
    </w:p>
    <w:p>
      <w:r>
        <w:t>Auf die Erhebung von Gerichtskosten zu Lasten der unterliegenden Beschwerdegegnerin wird umständehalber verzichtet ( Art. 66 Abs. 1 Satz 2 BGG ). Der obsiegenden Beschwerdeführerin steht kein Anspruch auf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