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8C_247/2009 vom 28. Juli 2009</w:t>
      </w:r>
    </w:p>
    <w:p>
      <w:r>
        <w:t>Bundesgericht, 2009-07-28, DE</w:t>
      </w:r>
    </w:p>
    <w:p>
      <w:r>
        <w:rPr>
          <w:b/>
        </w:rPr>
        <w:t xml:space="preserve">Quelle: </w:t>
      </w:r>
      <w:r>
        <w:t>https://mcp.opencaselaw.ch/entscheid/bger_8C_247_2009</w:t>
      </w:r>
    </w:p>
    <w:p>
      <w:r>
        <w:t>FR: TF 8C_247/2009 du 28 juillet 2009</w:t>
      </w:r>
    </w:p>
    <w:p>
      <w:r>
        <w:t>IT: TF 8C_247/2009 del 28 luglio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 BGE 129 V 177 E. 3.1 u. 3.2 S. 181), insbesondere bei Schleudertraumen der Halswirbelsäule und bei schleudertraumaähnlichen Verletzungen ( BGE 134 V 109 ), zutreffend dargelegt. Darauf wird verwiesen.</w:t>
      </w:r>
    </w:p>
    <w:p>
      <w:r>
        <w:rPr>
          <w:b/>
        </w:rPr>
        <w:t>E. 3</w:t>
      </w:r>
    </w:p>
    <w:p>
      <w:r>
        <w:t>Streitig ist, ob die Beschwerdegegnerin über den 1.Mai 2006 hinaus Leistungen für den Unfall vom 4. April 2004 bzw. die Ereignisse vom 28. Januar und 24. August 2005 zu erbringen hat. Dabei ist mit der Vorinstanz davon auszugehen, dass von einer Fortsetzung der ärztlichen Behandlung über das Datum der Leistungseinstellung hinaus keine namhafte Besserung des Gesundheitszustandes mehr zu erwarten war. Sodann hat als erstellt zu gelten, dass die von der Versicherten geklagten Beschwerden nicht auf einen organisch hinreichend nachweisbaren Gesundheitsschaden zurückzuführen sind. Wie die Vorinstanz zutreffend erwogen hat, kann die Frage, ob die geklagten Beschwerden natürlich kausal durch die Unfallereignisse verursacht sind, dann offen gelassen werden, wenn die Adäquanz eines allfälligen Kausalzusammenhanges ohnehin zu verneinen ist (vgl. z.B. die Urteile 8C_698/2008 vom 27. Januar 2009 E. 3, 8C_468/2008 vom 25. September 2008 E. 5.3 und 8C_42/2007 vom 14. April 2008 E. 2).</w:t>
      </w:r>
    </w:p>
    <w:p>
      <w:r>
        <w:t>Die Schwere des Unfalles ist aufgrund des augenfälligen Geschehensablaufs mit den sich dabei entwickelnden Kräften zu beurteilen (SVR 2008 UV Nr. 8 S. 26, U 2/07 E. 5.3.1). Das kantonale Gericht qualifizierte den Autounfall vom 4. April 2004 als mittelschwer, die Ereignisse vom 28. Januar und 24. August 2005 als leichte Unfälle, was - entgegen der Meinung der Beschwerdeführerin - nicht zu beanstanden ist. Während die Adäquanz eines Kausalzusammenhanges bei den als leicht zu qualifizierenden Ereignissen des Jahres 2005 mit der Vorinstanz ohne weiteres zu verneinen ist (vgl. E. 8.1 und 8.3 [S. 15 ff.] des angefochtenen Entscheides), wäre somit die Adäquanz des Kausalzusammenhanges zwischen dem Unfall vom 4. April 2004 und den ab 1. Mai 2006 noch bestehenden Beschwerden nur dann zu bejahen, wenn eines der relevanten Adäquanzkriterien in besonders ausgeprägter oder mehrere dieser Kriterien in gehäufter Weise erfüllt wären. Dass dies vorliegend nicht der Fall ist, hat die Vorinstanz nach eingehender und sorgfältiger Würdigung der Akten zutreffend dargelegt, woran die Einwendungen der Beschwerdeführerin, mit denen sich das kantonale Gericht - soweit wesentlich - bereits einlässlich befasst hat, nichts zu ändern vermögen. Als unbehelflich erweisen sich auch die mit der Beschwerde eingereichten Unterlagen, welche - soweit überhaupt relevant - schon im erstinstanzlichen Verfahren vorgelegen haben. Ohne dass es der von der Beschwerdeführerin beantragten Neubegutachtungen (antizipierte Beweiswürdigung; BGE 127 V 494 E. 1b; 124 V 90 E. 4b S. 94; 122 V 157 E. 1d S. 162 mit Hinweis; RKUV 2006 Nr. U 578 S. 176 E. 3.6; SVR 2001 IV Nr. 10 E. 4b S. 28) bedürfte, muss es daher bei der Feststellung sein Bewenden haben, dass ein Anspruch auf Leistungen der obligatorischen Unfallversicherung über den 1. Mai 2006 hinaus zu Recht verneint worden ist.</w:t>
      </w:r>
    </w:p>
    <w:p>
      <w:r>
        <w:rPr>
          <w:b/>
        </w:rPr>
        <w:t>E. 4</w:t>
      </w:r>
    </w:p>
    <w:p>
      <w:r>
        <w:t>Die offensichtlich unbegründete Beschwerde wird im vereinfachten Verfahren nach Art. 109 Abs. 2 lit. a BGG - ohne Durchführung eines Schriftenwechsels, mit summarischer Begründung und unter Verweis auf den kantonalen Entscheid (Art. 102 Abs. 1 und 109 Abs. 3 BGG) - erledigt.</w:t>
      </w:r>
    </w:p>
    <w:p>
      <w:r>
        <w:rPr>
          <w:b/>
        </w:rPr>
        <w:t>E. 5</w:t>
      </w:r>
    </w:p>
    <w:p>
      <w:r>
        <w:t>Bei diesem Verfahrensausgang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