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246/2023 vom 30. Mai 2023</w:t>
      </w:r>
    </w:p>
    <w:p>
      <w:r>
        <w:t>Bundesgericht, 2023-05-30, DE</w:t>
      </w:r>
    </w:p>
    <w:p>
      <w:r>
        <w:rPr>
          <w:b/>
        </w:rPr>
        <w:t xml:space="preserve">Quelle: </w:t>
      </w:r>
      <w:r>
        <w:t>https://mcp.opencaselaw.ch/entscheid/bger_8C_246_2023</w:t>
      </w:r>
    </w:p>
    <w:p>
      <w:r>
        <w:t>FR: TF 8C 246/2023 du 30 mai 2023</w:t>
      </w:r>
    </w:p>
    <w:p>
      <w:r>
        <w:t>IT: TF 8C 246/2023 del 30 maggio 2023</w:t>
      </w:r>
    </w:p>
    <w:p>
      <w:pPr>
        <w:pStyle w:val="Heading2"/>
      </w:pPr>
      <w:r>
        <w:t>Regeste</w:t>
      </w:r>
    </w:p>
    <w:p>
      <w:r>
        <w:t>Unfallversicherung (Prozessvoraussetzung) | Unfallversicherung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Eine Ausnahme davon besteht allein bei Beschwerden gegen einen Entscheid über die Zusprechung oder Verweigerung von Geldleistungen der Militär- oder Unfallversicherung. Dort kann jede unrichtige oder unvollständige Feststellung des rechtserheblichen Sachverhalts gerügt werden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angefochtenen Urteil vom 16. Februar 2023 in Auseinandersetzung mit den Parteivorbringen und in Würdigung der Akten ausführlich dar, weshalb die Beschwerdegegnerin mit Einspracheentscheid vom 23. Mai 2022 Taggelder in der Höhe von Fr. 27'992.50 zurückfordern durfte.</w:t>
      </w:r>
    </w:p>
    <w:p>
      <w:r>
        <w:rPr>
          <w:b/>
        </w:rPr>
        <w:t>E. 3</w:t>
      </w:r>
    </w:p>
    <w:p>
      <w:r>
        <w:t>Der Beschwerdeführer beschränkt sich weitgehend darauf, vor der Vorinstanz Vorgetragenes zu wiederholen und auf eine vom Casemanager der Beschwerdegegnerin verfasste Aktennotiz vom 13. April 2017 zu verweisen, um daraus direkt auf die Unrechtmässigkeit der Rückerstattungsforderung zu schliessen. Das von der Vorinstanz zu seinen Vorbringen Erwogene thematisiert er hingegen nicht. Inwieweit aus der erwähnten Aktennotiz vom 13. April 2017 etwas betreffend die entscheidwesentliche Frage, ob der Beschwerdeführer zum Unfallzeitpunkt am 13. Februar 2017 bereits gearbeitet hatte, gewonnen werden soll, legt er nicht dar. Dergestalt liegt keine den eingangs aufgezeigten Anforderungen genügende Beschwerde vor.</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