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8C_244/2019 vom 4. Juli 2019</w:t>
      </w:r>
    </w:p>
    <w:p>
      <w:r>
        <w:t>Bundesgericht, 2019-07-04, DE</w:t>
      </w:r>
    </w:p>
    <w:p>
      <w:r>
        <w:rPr>
          <w:b/>
        </w:rPr>
        <w:t xml:space="preserve">Quelle: </w:t>
      </w:r>
      <w:r>
        <w:t>https://mcp.opencaselaw.ch/entscheid/bger_8C_244_2019</w:t>
      </w:r>
    </w:p>
    <w:p>
      <w:r>
        <w:t>FR: TF 8C_244/2019 du 4 juillet 2019</w:t>
      </w:r>
    </w:p>
    <w:p>
      <w:r>
        <w:t>IT: TF 8C_244/2019 del 4 luglio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Es steht fest und ist letztinstanzlich unbestritten, dass sich der Gesundheitszustand des Versicherten seit der ursprünglichen Rentenzusprache wesentlich verbessert hat und er nunmehr in der Lage ist, ein rentenausschliessendes Einkommen zu erzielen. Streitig und zu prüfen ist, ob die Vorinstanz Bundesrecht verletzt hat, als sie die Aufhebung der Rente rückwirkend ab Dezember 2011 und die erst dem Grundsatz nach verfügte Rückerstattung bestätigte oder ob die Anpassung der Rente erst auf den ersten Tag des zweiten der Zustellung der Verfügung folgenden Monats (mithin auf den 1. September 2017) hin zu erfolgen hat.</w:t>
      </w:r>
    </w:p>
    <w:p>
      <w:r>
        <w:rPr>
          <w:b/>
        </w:rPr>
        <w:t>E. 3.1</w:t>
      </w:r>
    </w:p>
    <w:p>
      <w:r>
        <w:t>Ändert sich der Invaliditätsgrad einer Rentenbezügerin oder eines Rentenbezügers erheblich, so wird die Rente in Anwendung von Art. 17 Abs. 1 ATSG von Amtes wegen oder auf Gesuch hin für die Zukunft entsprechend erhöht, herabgesetzt oder aufgehoben.</w:t>
      </w:r>
    </w:p>
    <w:p>
      <w:r>
        <w:rPr>
          <w:b/>
        </w:rPr>
        <w:t>E. 3.2</w:t>
      </w:r>
    </w:p>
    <w:p>
      <w:r>
        <w:t>Die Herabsetzung oder Aufhebung der Renten, der Hilflosenentschädigungen und der Assistenzbeiträge erfolgt frühestens vom ersten Tag des zweiten der Zustellung der Verfügung folgenden Monats an ( Art. 88bis Abs. 2 lit. a IVV ) oder rückwirkend ab Eintritt der für den Anspruch erheblichen Änderung, wenn der Bezüger die Leistung zu Unrecht erwirkt hat oder der ihm nach Art. 77 IVV zumutbaren Meldepflicht nicht nachgekommen ist ( Art. 88bis Abs. 2 lit. b IVV ). Seit der Novellierung dieses Absatzes auf den 1. Januar 2015 gilt dies unabhängig davon, ob die Verletzung der Meldepflicht oder die unrechtmässige Erwirkung ein Grund für die Weiterausrichtung der Leistung war (vgl. Urteil 8C_859/2017 vom 8. Mai 2018 E. 4.3).</w:t>
      </w:r>
    </w:p>
    <w:p>
      <w:r>
        <w:rPr>
          <w:b/>
        </w:rPr>
        <w:t>E. 3.3</w:t>
      </w:r>
    </w:p>
    <w:p>
      <w:r>
        <w:t>Der Berechtigte oder sein gesetzlicher Vertreter sowie Behörden oder Dritte, denen die Leistung zukommt, haben gemäss Art. 77 IVV jede für den Leistungsanspruch wesentliche Änderung, namentlich eine solche des Gesundheitszustandes, der Arbeits- oder Erwerbsfähigkeit, des Zustands der Hilflosigkeit, des invaliditätsbedingten Betreuungsaufwandes oder Hilfebedarfs, des für den Ansatz der Hilflosenentschädigung und des Assistenzbeitrages massgebenden Aufenthaltsortes sowie der persönlichen und gegebenenfalls der wirtschaftlichen Verhältnisse des Versicherten unverzüglich der IV-Stelle anzuzeigen.</w:t>
      </w:r>
    </w:p>
    <w:p>
      <w:r>
        <w:rPr>
          <w:b/>
        </w:rPr>
        <w:t>E. 4</w:t>
      </w:r>
    </w:p>
    <w:p>
      <w:r>
        <w:t>Das kantonale Gericht hat unter Bezugnahme auf die Ergebnisse einer Observation des Beschwerdeführers erwogen, der Versicherte habe seine Meldepflicht spätestens 2008 verletzt, indem er die IV-Stelle über seinen verbesserten Gesundheitszustand nach überstandener Rückenoperation und erfolgter Nachbehandlung nicht informierte.</w:t>
      </w:r>
    </w:p>
    <w:p>
      <w:r>
        <w:rPr>
          <w:b/>
        </w:rPr>
        <w:t>E. 4.1</w:t>
      </w:r>
    </w:p>
    <w:p>
      <w:r>
        <w:t>Soweit der Beschwerdeführer geltend macht, die Ergebnisse der Observation dürften ihm nicht entgegengehalten werden, ist folgendes festzuhalten: Es trifft zwar zu, dass die Observation grundsätzlich rechtswidrig erfolgte ( BGE 143 I 377 E. 4 S. 384). Indessen ist nach demselben Urteil das Beweismaterial, das im Rahmen einer rechtswidrig angeordneten Observation im öffentlich frei einsehbaren Raum gewonnen wurde, im Invalidenversicherungsverfahren gestützt auf eine Interessenabwägung zwischen privaten und öffentlichen Interessen verwertbar ( BGE 143 I 377 E. 5.1.1 S. 385 f.). Dies gilt rechtsprechungsgemäss unabhängig von der Frage, ob die Observation objektiv geboten war oder nicht (vgl. Urteil 9C_561/2018 vom 8. Februar 2019 E. 5.2.2). Es ist auch - insbesondere unter Berücksichtigung des Umstandes, dass der Versicherte lediglich an sieben Tagen observiert wurde - nicht ersichtlich, dass im konkreten Fall der Eingriff in das Privatleben schwerer gewogen hätte als im Sachverhalt, welcher dem Leiturteil zu Grunde lag. Somit hat die Vorinstanz kein Bundesrecht verletzt, als sie die Ergebnisse der Observation in ihre Beurteilung miteinbezogen hat.</w:t>
      </w:r>
    </w:p>
    <w:p>
      <w:r>
        <w:rPr>
          <w:b/>
        </w:rPr>
        <w:t>E. 4.2</w:t>
      </w:r>
    </w:p>
    <w:p>
      <w:r>
        <w:t>Ausweislich der Akten erfolgte die ursprüngliche Rentenzusprache aufgrund eines Rückenleidens; es ist letztinstanzlich unbestritten, dass sich dieses Leiden auch weiterhin erwerblich auswirkt, der Beschwerdeführer aber nunmehr in der Lage ist, in einer angepassten Tätigkeit ein rentenausschliessendes Einkommen zu erzielen. Rechtsprechungsgemäss ist bei einer solchen Ausgangslage die versicherte Person grundsätzlich nicht verpflichtet, das von ihr in jenem Zeitpunkt noch bestrittene Ergebnis der Begutachtung im Sinne einer Meldung an die Verwaltung vorwegzunehmen. Anders zu entscheiden ist nur dann, wenn Anhaltspunkte bestehen für eine Ausschöpfung der hinzugewonnenen Arbeitsfähigkeit oder für ausserhäusliche Aktivitäten, die mit dem geltend gemachten Leiden schlichtweg unvereinbar sind (vgl. Urteil 9C_561/2018 vom 8. Februar 2019 E. 5.4.3). Das kantonale Gericht hat für das Bundesgericht grundsätzlich verbindlich festgestellt, die im Rahmen der Observation dokumentierten Reinigungsarbeiten und Einkäufe ohne sichtbare Einschränkungen, die Teilnahme an den auf Facebook einsehbar gemachten Veranstaltungen und die längeren Autofahrten seien mit der geltend gemachten vollständigen Erwerbsunfähigkeit unvereinbar. Der Beschwerdeführer verweist diesbezüglich lediglich und zu Unrecht (vgl. E. 4.1 hievor) auf die Unverwertbarkeit der Observationsergebnisse, ohne jedoch darzulegen, dass diese Erwägungen der Vorinstanz sonstwie bundesrechtswidrig gewesen wären. Durfte das kantonale Gericht zudem die Observationsergebnisse in ihre Beurteilung miteinbeziehen, so erscheint auch der vorinstanzliche Schluss, die Verbesserung des Gesundheitszustandes sei nicht erst, wie vom Beschwerdeführer geltend gemacht, am 22. Dezember 2016 eingetreten, nicht als offensichtlich unrichtig. Aufgrund des Rückenleidens stellte das kantonale Gericht eine seit 2008 bestehende Arbeitsfähigkeit in angestammter Tätigkeit von 30 % und in angepasster Tätigkeit von 80 % fest. Zudem ist gemäss den verbindlichen vorinstanzlichen Feststellungen eine bleibende oder längere Zeit dauernde Arbeitsunfähigkeit aufgrund des Blasentumors nicht zeitnah ausgewiesen. Da der Beschwerdeführer nichts vorbringt, was diese Feststellungen als bundesrechtswidrig erscheinen lassen würde, ist nicht zu beanstanden, dass die Vorinstanz von einer Verletzung der Meldepflicht des Versicherten seit spätestens 2008 ausging.</w:t>
      </w:r>
    </w:p>
    <w:p>
      <w:r>
        <w:rPr>
          <w:b/>
        </w:rPr>
        <w:t>E. 4.3</w:t>
      </w:r>
    </w:p>
    <w:p>
      <w:r>
        <w:t>Die Verletzung der Meldepflicht war mindestens bis zum Eingang der Observationsergebnisse bei der IV-Stelle und damit bis mindestens April 2015 kausal für die Weiterausrichtung der Rente. Seit dem 1. Januar 2015 bildet der Zeitpunkt der Kenntnis der IV-Stelle über die Verbesserung des Gesundheitszustandes des Versicherten im Falle einer Meldepflichtverletzung nicht länger die Grenze der Rückforderbarkeit (vgl. Urteil 8C_859/2017 vom 8. Mai 2018 E. 4.3). Somit braucht nicht näher geprüft zu werden, ob die IV-Stelle mit Eingang der Observationsergebnisse hinreichende Kenntnis von der Veränderung des Gesundheitszustandes hatte und die Kausalität des Meldepflichtverletzung damit allenfalls im April 2015 dahingefallen ist. Das kantonale Gericht hat damit kein Bundesrecht verletzt, als es die rückwirkende Aufhebung der Rente ab Dezember 2011 und die Rückforderung der zu Unrecht erbrachten Leistungen bestätigte; die Beschwerde des Versicherten ist abzuweisen.</w:t>
      </w:r>
    </w:p>
    <w:p>
      <w:r>
        <w:rPr>
          <w:b/>
        </w:rPr>
        <w:t>E. 5</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