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8C_243/2019 vom 8. April 2019</w:t>
      </w:r>
    </w:p>
    <w:p>
      <w:r>
        <w:t>Bundesgericht, 2019-04-08, DE</w:t>
      </w:r>
    </w:p>
    <w:p>
      <w:r>
        <w:rPr>
          <w:b/>
        </w:rPr>
        <w:t xml:space="preserve">Quelle: </w:t>
      </w:r>
      <w:r>
        <w:t>https://mcp.opencaselaw.ch/entscheid/bger_8C_243_2019</w:t>
      </w:r>
    </w:p>
    <w:p>
      <w:r>
        <w:t>FR: TF 8C_243/2019 du 8 avril 2019</w:t>
      </w:r>
    </w:p>
    <w:p>
      <w:r>
        <w:t>IT: TF 8C_243/2019 del 8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8C_243/2019</w:t>
      </w:r>
    </w:p>
    <w:p>
      <w:r>
        <w:t>Urteil vom 8. April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IV-Stelle Appenzell Ausserrhoden,</w:t>
      </w:r>
    </w:p>
    <w:p>
      <w:r>
        <w:t>Neue Steig 15, 9100 Herisau,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Rechtsanwältin Amanda Guyot,</w:t>
      </w:r>
    </w:p>
    <w:p>
      <w:r>
        <w:t>Beschwerdegegner.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Obergerichts Appenzell Ausserrhoden vom 29. November 2018</w:t>
      </w:r>
    </w:p>
    <w:p>
      <w:r>
        <w:t>(O3V 18 11).</w:t>
      </w:r>
    </w:p>
    <w:p>
      <w:r>
        <w:t>Nach Einsicht</w:t>
      </w:r>
    </w:p>
    <w:p>
      <w:r>
        <w:t>in die Beschwerde vom 4. April 2019 (Poststempel) gegen den Rückweisungsentscheid des Obergerichts Appenzell Ausserrhoden vom 29. November 2018,</w:t>
      </w:r>
    </w:p>
    <w:p>
      <w:r>
        <w:t>in Erwägung,</w:t>
      </w:r>
    </w:p>
    <w:p>
      <w:r>
        <w:t>dass der Rückweisungsentscheid ein Zwischenentscheid im Sinne von Art. 93. BGG darstellt, der nur unter den Voraussetzungen von Art. 93 Abs. 1 BGG selbstständig angefochten werden kann ( BGE 141 V 330 E. 1.1),</w:t>
      </w:r>
    </w:p>
    <w:p>
      <w:r>
        <w:t>dass die Zulässigkeit der Beschwerde somit - alternativ - voraussetzt,</w:t>
      </w:r>
    </w:p>
    <w:p>
      <w:r>
        <w:t>- dass der Entscheid bei der Beschwerde führenden Partei einen nicht wieder gutzumachenden Nachteil bewirken kann ( Art. 93 Abs. 1 lit. a BGG ) oder</w:t>
      </w:r>
    </w:p>
    <w:p>
      <w:r>
        <w:t>-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dies auch für die dabei ausgesprochene Kostenfolge gilt ( BGE 139 V 604 E. 3.2 S. 607; 135 III 329 E. 1 S. 331 ff.; 133 V 645 E. 2 S. 647 f.),</w:t>
      </w:r>
    </w:p>
    <w:p>
      <w:r>
        <w:t>dass diese Ausnahme restriktiv zu handhaben ist, weshalb es der Beschwerde führenden Partei obliegt darzutun, dass die Voraussetzungen von Art. 93 BGG erfüllt sind, soweit sie nicht offensichtlich vorliegen ( BGE 138 III 46 E. 1.2 S. 47; 137 III 324 E. 1.1 S. 328 f.),</w:t>
      </w:r>
    </w:p>
    <w:p>
      <w:r>
        <w:t>dass weder Derartiges vorgetragen noch erkennbar ist, zumal die Rückweisung keine materiellrechtlichen Anordnungen enthält, sondern lediglich zu einer Verlängerung des Verfahrens führt, die keinen irreparablen Nachteil bewirken kann (Näheres dazu: BGE 141 V 330 E. 1.1; 140 V 282 E. 4.2 S. 286; 135 III 329 E. 1 S. 33; 133 V 645 E. 2.2 S. 647 f., je mit Hinweisen),</w:t>
      </w:r>
    </w:p>
    <w:p>
      <w:r>
        <w:t>dass deshalb im vereinfachten Verfahren nach Art. 108 Abs. 1 lit. b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Obergericht Appenzell Ausserrhoden und dem Bundesamt für Sozialversicherungen schriftlich mitgeteilt.</w:t>
      </w:r>
    </w:p>
    <w:p>
      <w:r>
        <w:t>Luzern, 8. April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