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8C_241/2014 vom 8. Juli 2014</w:t>
      </w:r>
    </w:p>
    <w:p>
      <w:r>
        <w:t>Bundesgericht, 2014-07-08, DE</w:t>
      </w:r>
    </w:p>
    <w:p>
      <w:r>
        <w:rPr>
          <w:b/>
        </w:rPr>
        <w:t xml:space="preserve">Quelle: </w:t>
      </w:r>
      <w:r>
        <w:t>https://mcp.opencaselaw.ch/entscheid/bger_8C_241_2014</w:t>
      </w:r>
    </w:p>
    <w:p>
      <w:r>
        <w:t>FR: TF 8C_241/2014 du 8 juillet 2014</w:t>
      </w:r>
    </w:p>
    <w:p>
      <w:r>
        <w:t>IT: TF 8C_241/2014 del 8 luglio 2014</w:t>
      </w:r>
    </w:p>
    <w:p>
      <w:pPr>
        <w:pStyle w:val="Heading2"/>
      </w:pPr>
      <w:r>
        <w:t>Erwägungen</w:t>
      </w:r>
    </w:p>
    <w:p>
      <w:r>
        <w:rPr>
          <w:b/>
        </w:rPr>
        <w:t>E. 1</w:t>
      </w:r>
    </w:p>
    <w:p>
      <w:r>
        <w:t>Die Beschwerde in öffentlich-rechtlichen Angelegenheiten ( Art. 82 ff. BGG )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aufgeworfen werden, zu untersuchen ( BGE 133 II 249 E. 1.4.1 S. 254).</w:t>
      </w:r>
    </w:p>
    <w:p>
      <w:r>
        <w:rPr>
          <w:b/>
        </w:rPr>
        <w:t>E. 2</w:t>
      </w:r>
    </w:p>
    <w:p>
      <w:r>
        <w:t>Die Vorinstanz hat die Bestimmungen und Grundsätze über die Leistungspflicht der Militärversicherung ( Art. 5 und 6 MVG ), namentlich die Voraussetzung des adäquaten Kausalzusammenhangs bei einem (subjektiven) Tinnitus ( BGE 138 V 248 ; 123 V 137 ; 115 V 133 ), und die Beweiswürdigung von ärztlichen Berichten ( BGE 134 V 231 E. 5.1 S. 232; 125 V 351 E. 3 S. 352) zutreffend dargelegt. Darauf wird verwiesen.</w:t>
      </w:r>
    </w:p>
    <w:p>
      <w:r>
        <w:t>Zutreffend ist auch die Wiedergabe der Berichte des Dr. med. B.________ vom 16. August 1980 und 9. September 1980 sowie vom 6. Januar 1981, der Frau Dr. med. C.________, Fachärztin für Oto-Rhino-Laryngologie, vom 15. Februar 2012 sowie des Kreisarztes Militärversicherung, Facharzt für orthopädische Chirurgie und Traumatologie des Bewegungsapparates, SUVA, vom 28. Februar 2012. Darauf wird ebenfalls verwiesen.</w:t>
      </w:r>
    </w:p>
    <w:p>
      <w:r>
        <w:rPr>
          <w:b/>
        </w:rPr>
        <w:t>E. 3.1</w:t>
      </w:r>
    </w:p>
    <w:p>
      <w:r>
        <w:t>Nach Art. 30 Abs. 1 BV und Art. 6 Ziff. 1 EMRK hat jede Person Anspruch darauf, dass ihre Sache von einem unparteiischen, unvoreingenommenen und unbefangenen Richter ohne Einwirken sachfremder Umstände entschieden wird. Ob diese Garantien verletzt sind, prüft das Bundesgericht frei.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137 I 227 E 2.1 S. 229 mit Hinweisen).</w:t>
      </w:r>
    </w:p>
    <w:p>
      <w:r>
        <w:rPr>
          <w:b/>
        </w:rPr>
        <w:t>E. 3.2</w:t>
      </w:r>
    </w:p>
    <w:p>
      <w:r>
        <w:t>Der Beschwerdeführer macht geltend, D.________ hätte beim vorinstanzlichen Entscheid nicht mitwirken dürfen, da sie zeitgleich (1986 bis 1994) mit ihm im Zuger Kantonsparlament gewesen sei und die SP vertreten habe, während er als parteiloses Mitglied dem Rat angehört habe, sodass "ein parteipolitisch bedingtes besonderes Feindschaftsverhältnis" bestehe.</w:t>
      </w:r>
    </w:p>
    <w:p>
      <w:r>
        <w:t>Dieser Ansicht kann nicht gefolgt werden. Denn die Zugehörigkeit zu einer Partei für sich allein genügt nicht, um Befangenheit im Sinne des hier massgeblichen, seit 1. Januar 2011 in Kraft stehenden § 9 Abs. 1 des Zuger Gesetzes vom 1. April 1976 über den Rechtsschutz in Verwaltungssachen (Verwaltungsrechtspflegegesetz; BGS 162.1) zu begründen. Vielmehr müssen weitere Umstände bestehen, welche die Unvoreingenommenheit des Gerichtsmitglieds aus objektiver Sicht erwecken. Da das subjektive Empfinden der betroffenen Person keine Rolle spielt, genügt der Einwand des Versicherten nicht, um den Anschein der Befangenheit bei D.________ zu erwecken. Der Beschwerdeführer bringt darüber hinaus keine weiteren Einwände vor, so dass die Mitwirkung von D.________ am vorinstanzlichen Entscheid nicht zu beanstanden ist.</w:t>
      </w:r>
    </w:p>
    <w:p>
      <w:r>
        <w:rPr>
          <w:b/>
        </w:rPr>
        <w:t>E. 4.1</w:t>
      </w:r>
    </w:p>
    <w:p>
      <w:r>
        <w:t>Die Leistungspflicht der Militärversicherung erstreckt sich grundsätzlich auf sämtliche Folgen, die mit dem versicherten Ereignis in einem rechtserheblichen Kausalzusammenhang stehen; werden in Bezug auf eine während des Dienstes festgestellte (versicherte) Gesundheitsschädigung in einem späteren Zeitpunkt ein Rückfall oder Spätfolgen im Sinne von Art. 6 MVG geltend gemacht, haftet die Militärversicherung, wenn zwischen den neuen Beschwerden und der dienstlichen Gesundheitsschädigung ein nach dem Beweisgrad der überwiegenden Wahrscheinlichkeit erstellter natürlicher und adäquater Kausalzusammenhang besteht (Urteil 8C_39/2008 vom 20. November 2008 E. 3.1 mit Hinweisen). Die Beurteilung des adäquaten Kausalzusammenhangs zwischen einem Unfall und einer psychischen Störung erfolgt in der Militärversicherung nach denselben Grundsätzen wie in der Unfallversicherung ( BGE 123 V 137 ).</w:t>
      </w:r>
    </w:p>
    <w:p>
      <w:r>
        <w:t>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 BGE 123 V 137 E. 3c S. 138 mit Hinweisen; vgl. auch Urteil 8C_39/2008 vom 20. November 2008 E. 3.2).</w:t>
      </w:r>
    </w:p>
    <w:p>
      <w:r>
        <w:t>Bei einem Tinnitus, der sich keiner organisch objektiv ausgewiesenen Unfallfolge zuordnen lässt, kann der adäquate Kausalzusammenhang zum leistungsauslösenden Ereignis, wie bei anderen organisch nicht ausgewiesenen Beschwerdebildern, nicht ohne besondere Prüfung bejaht werden ( BGE 138 V 248 ). In diesen Fällen kommt demnach - abhängig von den festgestellten Beschwerden - die Schleudertraumapraxis ( BGE 134 V 109 ), welche auch bei Schädelhirntraumata anwendbar ist ( BGE 117 V 369 ), oder die sogenannte Psychopraxis ( BGE 115 V 133 ) zur Anwendung (Urteil 8C_1040/2012 vom 15. März 2013 E. 2 und E. 4.2.3.2).</w:t>
      </w:r>
    </w:p>
    <w:p>
      <w:r>
        <w:rPr>
          <w:b/>
        </w:rPr>
        <w:t>E. 4.2</w:t>
      </w:r>
    </w:p>
    <w:p>
      <w:r>
        <w:t>Für den diagnostizierten Tinnitus des Versicherten sind keine organisch objektivierbaren Ursachen ausgewiesen (vgl. zu den Anforderungen an die Objektivierbarkeit von organischen Leiden in BGE 135 V 465 nicht, aber in SVR 2010 UV Nr. 6 S. 25 publizierte E. 2 des Urteils 8C_216/2009 vom 28. Oktober 2009), so dass ein subjektiver Tinnitus gegeben ist und eine spezielle Prüfung des adäquaten Kausalzusammenhangs zu erfolgen hat. Nachdem das Ereignis vom 30. Juli 1980 weder ein Schleudertrauma noch ein Schädelhirntrauma verursachte, ist die Beurteilung der Adäquanz nach der Psychopraxis vorzunehmen. Die dabei massgeblichen Kriterien ( BGE 115 V 133 E. 6c/aa S. 140) sind mit der Vorinstanz allesamt zu verneinen, da bei deren Prüfung alleine die physischen Folgen zu berücksichtigen sind, nicht aber die psychischen.</w:t>
      </w:r>
    </w:p>
    <w:p>
      <w:r>
        <w:t>Soweit der Versicherte geltend macht, es handle sich weder um eine Spätfolge noch um einen Rückfall, da der Zustand persistierend und unverändert sei, kann ihm nicht gefolgt werden. Nachdem der Versicherte während rund 30 Jahren keine Leistungen der Militärversicherung beanspruchte, gilt der Fall rechtlich als abgeschlossen; eine erneute Leistungspflicht der Militärversicherung kann nur unter den Voraussetzungen eines Rückfalls oder einer Spätfolge entstehen. Entgegen der Ansicht des Versicherten vermag auch die geltend gemachte Blutung im Ohr nicht als organisch objektivierbare Unfallfolge zu gelten; abgesehen davon, dass diese in keinem der Berichte des Dr. med. B.________ festgehalten wird, zählt dieser Umstand auch nicht zu den objektivierenden Merkmalen eines Tinnitus (vgl. dazu BGE 138 V 248 E. 5.7 S. 253 mit Hinweisen auf die medizinische Literatur). Dem Antrag des Beschwerdeführers auf Beizug seiner von Dr. med. B.________ geführten Krankenakte ist in Anwendung der grundsätzlich zulässigen antizipierten Beweiswürdigung ( BGE 134 I 140 E. 5.3 S. 148; 124 V 90 E. 4b S. 94) nicht zu folgen; denn es ist nicht davon auszugehen, dass diese einerseits nach über 30 (behandlungsfreien) Jahren noch vorhanden und andererseits ausführlicher als die sich in den Akten befindlichen Berichte samt Kopien der Tonaudiogrammergebnisse ist. Bezüglich der geltend gemachten psychischen Arbeitsunfähigkeit ist der Versicherte darauf hinzuweisen, dass diese im Rahmen der Psychopraxis unbeachtlich ist, da nur eine physisch begründete Arbeitsunfähigkeit bei den Kriterien berücksichtigt wird (vgl. BGE 115 V 133 E. 6c/aa S. 140). Dass heute bessere Behandlungsmöglichkeiten zur Verfügung stehen, vermag keine ärztliche Fehlbehandlung zu begründen. Auch finden sich in den Akten keine Anhaltspunkte dafür, dass der Versicherte im Jahr 1980 nicht dem damaligen medizinischen Wissensstand entsprechend behandelt wurde. Schliesslich ist festzuhalten, dass der natürliche Kausalzusammenhang eine medizinische, der adäquate hingegen eine juristische Frage ist, so dass weder Vorinstanz noch Verwaltung Willkür vorgehalten werden kann, weil sie den adäquaten Kausalzusammenhang geprüft haben (vgl. in diesem Zusammenhang auch SVR 2008 MV Nr. 2 S. 3 E. 4.1, M 2/06).</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