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241/2007 vom 9. Juni 2008</w:t>
      </w:r>
    </w:p>
    <w:p>
      <w:r>
        <w:t>Bundesgericht, 2008-06-09, DE</w:t>
      </w:r>
    </w:p>
    <w:p>
      <w:r>
        <w:rPr>
          <w:b/>
        </w:rPr>
        <w:t xml:space="preserve">Quelle: </w:t>
      </w:r>
      <w:r>
        <w:t>https://mcp.opencaselaw.ch/entscheid/bger_8C_241_2007</w:t>
      </w:r>
    </w:p>
    <w:p>
      <w:r>
        <w:t>FR: TF 8C 241/2007 du 9 juin 2008</w:t>
      </w:r>
    </w:p>
    <w:p>
      <w:r>
        <w:t>IT: TF 8C 241/2007 del 9 giugno 2008</w:t>
      </w:r>
    </w:p>
    <w:p>
      <w:pPr>
        <w:pStyle w:val="Heading2"/>
      </w:pPr>
      <w:r>
        <w:t>Regeste</w:t>
      </w:r>
    </w:p>
    <w:p>
      <w:r>
        <w:t>Unfallversicherung | Unfallversicherung</w:t>
      </w:r>
    </w:p>
    <w:p>
      <w:pPr>
        <w:pStyle w:val="Heading2"/>
      </w:pPr>
      <w:r>
        <w:t>Erwägungen</w:t>
      </w:r>
    </w:p>
    <w:p>
      <w:r>
        <w:rPr>
          <w:b/>
        </w:rPr>
        <w:t>E. 1</w:t>
      </w:r>
    </w:p>
    <w:p>
      <w:r>
        <w:t>Der Beschwerdeführer macht zunächst geltend, das kantonale Gericht habe seinen Anspruch auf rechtliches Gehör verletzt. Er verlangt aus diesem Grund die Aufhebung des vorinstanzlichen Entscheids.</w:t>
      </w:r>
    </w:p>
    <w:p>
      <w:r>
        <w:rPr>
          <w:b/>
        </w:rPr>
        <w:t>E. 1.1</w:t>
      </w:r>
    </w:p>
    <w:p>
      <w:r>
        <w:t>Der Beschwerdeführer liess in der vorinstanzlichen Beschwerdeschrift vom 10. Juli 2006 die Anordnung eines zweiten Schriftenwechsels beantragen. Zur Begründung wurde erklärt, sein Vertreter sei erst am Freitag, 7. Juli 2006, mandatiert worden und habe daher die Akten der Beschwerdegegnerin noch nicht einsehen können. Das kantonale Gericht holte die Beschwerdeantwort der SUVA vom 28. August 2006 ein. Dem Beschwerdeführer stellte es diese nach Lage der Akten erst mit Verfügung vom 23. November 2006 zu. Gleichzeitig erklärte es den Schriftenwechsel für geschlossen. Nach diesem Zeitpunkt unaufgefordert eingereichte Stellungnahmen einer Partei werden gemäss kantonalzürcherischer Gerichtspraxis aus dem Recht gewiesen (SVR 2008 UV Nr. 1 S. 1 E. 3.3.2, 8C_240/2007, mit Hinweis auf Christian Zünd, Kommentar zum Gesetz über das Sozialversicherungsgericht des Kantons Zürich, Zürich 1998, S. 140, N 9 zu § 19).</w:t>
      </w:r>
    </w:p>
    <w:p>
      <w:r>
        <w:rPr>
          <w:b/>
        </w:rPr>
        <w:t>E. 1.2</w:t>
      </w:r>
    </w:p>
    <w:p>
      <w:r>
        <w:t>Der Anspruch auf rechtliches Gehör ist ein Teilaspekt des allgemeinen Grundsatzes des fairen Verfahrens von Art. 29 Abs. 1 BV bzw. Art. 6 Ziff. 1 EMRK . Er umfasst unter anderem das Recht, von jeder dem Gericht eingereichten Stellungnahme Kenntnis zu nehmen und sich dazu äussern zu können, unabhängig davon, ob diese neue Tatsachen oder Argumente enthält und ob sie das Gericht tatsächlich zu beeinflussen vermag. Das auf Art. 29 Abs. 2 BV gestützte Replikrecht gilt für alle gerichtlichen Verfahren, auch solche, die nicht in den Schutzbereich von Art. 6 Ziff. 1 EMRK fallen ( BGE 133 I 98 E. 2.1 und 2.2 S. 99 ; 133 I 100 E. 4.3 - 4.6 S. 102 ff. ; 132 I 42 E. 3.3.3 S. 47). Eine gerichtliche Instanz wird dem Anspruch auf rechtliches Gehör nicht gerecht, wenn sie einer Partei die Stellungnahme der Gegenpartei zustellt und gleichzeitig den Schriftenwechsel für geschlossen erklärt (Urteil 2C_688/2007 vom 11. Februar 2008, E. 2.2 und 2.3, mit Hinweisen). Die Vorinstanz beging demnach eine Gehörsverletzung, indem sie dem Versicherten bzw. seinem Vertreter mit ihrer Verfügung vom 23. November 2006 die Vernehmlassung des Versicherers vom 28. August 2006 zustellte und gleichzeitig den Schriftenwechsel für geschlossen erklärte. Mit Blick darauf, dass selbst dann eine Nachfrist zur Ergänzung der Beschwerdebegründung anzusetzen gewesen wäre, wenn die Beschwerde wegen der kurzfristigen, eine vorgängige Akteneinsicht nicht mehr zulassenden Mandatierung lediglich summarisch oder gar nicht begründet worden wäre ( Art. 61 lit. b ATSG ; noch nicht in der amtlichen Sammlung veröffentlichtes Urteil 9C_853/2007 vom 15. April 2008, E. 5.1 und 5.2), hat die Gehörsverletzung als schwerwiegend zu gelten.</w:t>
      </w:r>
    </w:p>
    <w:p>
      <w:r>
        <w:rPr>
          <w:b/>
        </w:rPr>
        <w:t>E. 1.3.1</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w:t>
      </w:r>
    </w:p>
    <w:p>
      <w:r>
        <w:rPr>
          <w:b/>
        </w:rPr>
        <w:t>E. 1.3.2</w:t>
      </w:r>
    </w:p>
    <w:p>
      <w:r>
        <w:t>Das kantonale Gericht hat Feststellungen zum rechtserheblichen Sachverhalt getroffen. Insbesondere verneinte es - als zentrales Element seines Entscheids - den natürlichen Kausalzusammenhang zwischen dem Unfallereignis vom 29. März 2005 und den geltend gemachten, über den 28. November 2005 hinaus anhaltenden Beschwerden im Bereich der Halswirbelsäule. Infolge der ihm nicht gewährten Nachfrist zur Beschwerdeergänzung respektive der Verweigerung eines zweiten Schriftenwechsels war es dem Vertreter des Versicherten nicht möglich, in Kenntnis der Aktenlage auf diese Feststellungen einzuwirken. Das Bundesgericht kann zwar - unabhängig von der erweiterten Kognition bei Geldleistungen der Unfallversicherung gemäss Art. 97 Abs. 2 und Art. 105 Abs. 3 BGG - grundsätzlich eine Sachverhaltsfeststellung, welche auf einer Rechtsverletzung beruht, berichtigen oder ergänzen ( Art. 105 Abs. 2 BGG ). Soweit der Vorinstanz eine Missachtung formeller Verfahrensgarantien vorgeworfen werden muss, bildet jedoch die Kassation ihres Entscheids weiterhin die Regel, zumal der Rechtsunterworfene grundsätzlich Anspruch auf Einhaltung des Instanzenzuges hat (Urteil 8C_147/2007 vom 27. Februar 2008, E. 4.4 mit Hinweis auf Markus Schott, Basler Kommentar zum BGG, Basel 2008, S. 957, Art. 97 N 24 ; Ulrich Meyer, ebenda, S. 1053 f., Art. 107 N 13 und 15). Eine Heilung des Verfahrensmangels im letztinstanzlichen Verfahren ist daher nicht angezeigt. Der vorinstanzliche Entscheid ist aufzuheben und die Sache ist an das kantonale Gericht zurückzuweisen.</w:t>
      </w:r>
    </w:p>
    <w:p>
      <w:r>
        <w:rPr>
          <w:b/>
        </w:rPr>
        <w:t>E. 2</w:t>
      </w:r>
    </w:p>
    <w:p>
      <w:r>
        <w:t>Das Verfahren ist kostenpflichtig (Art. 65 Abs. 1 und Abs. 4 lit. a BGG). Die Beschwerdegegnerin gilt als unterliegende Partei (vgl. BGE 132 V 215 E. 6.1 S. 235), weshalb ihr die Kosten aufzuerlegen sind ( Art. 66 Abs. 1 BGG ). Der Beschwerdeführer hat Anspruch auf eine Parteientschädigung zu Lasten der SUVA ( Art. 68 Abs. 2 BGG ). Damit wird sein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