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8C_23/2021 vom 20. April 2021</w:t>
      </w:r>
    </w:p>
    <w:p>
      <w:r>
        <w:t>Bundesgericht, 2021-04-20, DE</w:t>
      </w:r>
    </w:p>
    <w:p>
      <w:r>
        <w:rPr>
          <w:b/>
        </w:rPr>
        <w:t xml:space="preserve">Quelle: </w:t>
      </w:r>
      <w:r>
        <w:t>https://mcp.opencaselaw.ch/entscheid/bger_8C_23_2021</w:t>
      </w:r>
    </w:p>
    <w:p>
      <w:r>
        <w:t>FR: TF 8C_23/2021 du 20 avril 2021</w:t>
      </w:r>
    </w:p>
    <w:p>
      <w:r>
        <w:t>IT: TF 8C_23/2021 del 20 aprile 2021</w:t>
      </w:r>
    </w:p>
    <w:p>
      <w:pPr>
        <w:pStyle w:val="Heading2"/>
      </w:pPr>
      <w:r>
        <w:t>Erwägungen</w:t>
      </w:r>
    </w:p>
    <w:p>
      <w:r>
        <w:rPr>
          <w:b/>
        </w:rPr>
        <w:t>E. 1.1</w:t>
      </w:r>
    </w:p>
    <w:p>
      <w:r>
        <w:t>Das Bundesgericht prüft die Eintretensvoraussetzungen von Amtes wegen und mit freier Kognition ( Art. 29 Abs. 1 BGG ; BGE 145 II 153 E. 1.1 mit Hinweis).</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Durch Festsetzung der zumutbaren Arbeitsfähigkeit von 60% in leidensangepasster Tätigkeit enthält der angefochtene Entscheid -ungeachtet der Rückweisung im Sinne der Erwägungen zur Neubemessung des Tabellenlohnabzuges und zwecks endgültiger Bestimmung des Invaliditätsgrades - materiell verbindliche Vorgaben, welche die Beschwerdeführerin bereits zur Ausrichtung einer Invalidenrente nach UVG verpflichten. Da der auf dieser Vorgabe beruhende Endentscheid praktisch nicht angefochten und das Ergebnis nicht mehr korrigiert werden könnte, liegt ein nicht wiedergutzumachender Nachteil nach Art. 93 Abs. 1 lit. a BGG vor (Urteil 8C_270/2020 vom 1. September 2020 E. 1.2 mit Hinweisen).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Bestimmungen und Grundsätze zur Leistungspflicht des obligatorischen Unfallversicherers ( Art. 6 Abs. 1 UVG ), zum Begriff der Invalidität ( Art. 8 ATSG ), zum Anspruch auf eine Invalidenrente der Unfallversicherung ( Art. 18 Abs. 1 UVG ), zur Ermittlung des Invaliditätsgrades bei Erwerbstätigen nach der Methode des Einkommensvergleichs ( Art. 16 ATSG ; BGE 130 V 121 ) und zur Rentenrevision ( Art. 17 Abs. 1 ATSG ) zutreffend dargelegt. Gleiches gilt für die Ausführungen zum Grundsatz der freien Beweiswürdigung ( Art. 43 Abs. 1 und Art. 61 lit. c ATSG ) sowie zu den beweisrechtlichen Anforderungen an einen ärztlichen Bericht im Allgemeinen ( BGE 134 V 231 E. 5.1; 125 V 351 E. 3a) und bei Administrativgutachten nach Art. 44 ATSG im Besonderen ( BGE 135 V 465 E. 4.4). Darauf wird verwiesen.</w:t>
      </w:r>
    </w:p>
    <w:p>
      <w:r>
        <w:rPr>
          <w:b/>
        </w:rPr>
        <w:t>E. 4.1</w:t>
      </w:r>
    </w:p>
    <w:p>
      <w:r>
        <w:t>Die Vorinstanz stellte zutreffend fest, der Einspracheentscheid vom 16. Januar 2020 bilde rechtsprechungsgemäss die zeitliche Grenze der richterlichen Überprüfungsbefugnis. Strittig sei, ob die SWICA - wie mit dem genannten Einspracheentscheid bestätigt - zu Recht die Rente des A.________ per 31. August 2019 revisionsweise aufgehoben habe. Zu prüfen sei somit, ob sich gegenüber der ursprünglichen Rentenzusprache vom 9. Mai 1996 im Zeitpunkt des streitigen Einspracheentscheids vom 16. Januar 2020 eine wesentliche Änderung des Gesundheitszustandes ergeben und sich dadurch der Invaliditätsgrad in anspruchserheblicher Weise verändert habe. Hiegegen erhoben die Parteien keine Einwände.</w:t>
      </w:r>
    </w:p>
    <w:p>
      <w:r>
        <w:rPr>
          <w:b/>
        </w:rPr>
        <w:t>E. 4.2</w:t>
      </w:r>
    </w:p>
    <w:p>
      <w:r>
        <w:t>Demnach bleibt vor Bundesgericht strittig, ob die Vorinstanz Bundesrecht verletzte, indem sie gestützt auf das beweiskräftige SMAB-Gutachten auf eine aus gesamtmedizinischer Sicht in einer angepassten Verweistätigkeit zumutbare Arbeitsfähigkeit von 60% schloss und die Sache deshalb zur Neubemessung des Tabellenlohnabzuges und demzufolge zur Neuermittlung des Invaliditätsgrades an die SWICA zurückwies.</w:t>
      </w:r>
    </w:p>
    <w:p>
      <w:r>
        <w:rPr>
          <w:b/>
        </w:rPr>
        <w:t>E. 5</w:t>
      </w:r>
    </w:p>
    <w:p>
      <w:r>
        <w:t>Fest steht und unbestritten ist, dass im revisionsrechtlich ausschlaggebenden Vergleichszeitraum (vgl. E. 4.1 hievor) eine massgebende Verbesserung des Gesundheitszustandes mit erheblicher Auswirkung auf die Arbeitsfähigkeit im Sinne eines Revisionsgrundes nach Art. 17 Abs. 1 ATSG eingetreten ist.</w:t>
      </w:r>
    </w:p>
    <w:p>
      <w:r>
        <w:rPr>
          <w:b/>
        </w:rPr>
        <w:t>E. 6.1</w:t>
      </w:r>
    </w:p>
    <w:p>
      <w:r>
        <w:t>Die Beschwerde führende SWICA rügt, die Vorinstanz habe den Sachverhalt offensichtlich unrichtig festgestellt. Das SMAB-Gutachten genüge unbestritten den praxisgemässen Anforderungen an ein Revisionsgutachten. Demnach sei der Beschwerdegegner - entegegen dem angefochtenen Entscheid - in Bezug auf eine leidensangepasste Tätigkeit nicht nur zu 60%, sondern zu 100% arbeitsfähig. Unfallbedingt sei von einer funktionellen Einarmigkeit auszugehen. Dieser Tatsache habe die Beschwerdeführerin durch Berücksichtigung des praxisgemäss maximal zulässigen leidensbedingten Tabellenlohnabzuges von 25% ( BGE 126 V 75 ) bundesrechtskonform Rechnung getragen. Basierend auf den beiden - gemäss vorinstanzlichem Entscheid unbestrittenen, anhand der Tabellenlöhne der vom Bundesamt für Statistik (BFS) alle zwei Jahre durchgeführten Lohnstrukturerhebung (LSE) bemessenen - Vergleichseinkommen resultiere aus dem Einkommensvergleich keine unfallbedingte Erwerbseinbusse von mindestens 10%.</w:t>
      </w:r>
    </w:p>
    <w:p>
      <w:r>
        <w:rPr>
          <w:b/>
        </w:rPr>
        <w:t>E. 6.2</w:t>
      </w:r>
    </w:p>
    <w:p>
      <w:r>
        <w:t>Der angefochtene Entscheid ist widersprüchlich. Einerseits stellte sich das kantonale Gericht zu Recht auf den Standpunkt, das SMAB-Gutachten erfülle die praxisgemässen Anforderungen an den Beweiswert eines Gutachtens ( BGE 135 V 465 E. 4.4 mit Hinweisen). Demzufolge stehe in tatsächlicher Hinsicht fest, dass seit der ursprünglichen Rentenzusprache am 9. Mai 1996 eine wesentliche Veränderung des Gesundheitszustandes und der Arbeitsfähigkeit eingetreten seien. Andererseits fügte die Vorinstanz mit Blick auf das SMAB-Gutachten sogleich an, es bestehe jedoch hinsichtlich der gutachterlichen Beurteilung der Leistungsfähigkeit in angepassten Verweistätigkeiten Klärungsbedarf. Ohne von den SMAB-Gutachtern nach Art. 61 lit. c ATSG präzisierende Erläuterungen einzuverlangen oder darzulegen, weshalb diesbezüglich von ergänzenden Sachverhaltsabklärungen in antizipierter Beweiswürdigung keine entscheidwesentlichen neuen Erkenntnisse zu erwarten gewesen wären, beantwortete die Vorinstanz die aufgeworfene medizinische Tatfrage selber. Die Unterscheidung zwischen "zumutbarer angepasster Tätigkeit" und "optimal angepasster Tätigkeit" gemäss SMAB-Gutachten sei nicht überzeugend. Als Ergebnis dieser vorinstanzlichen Beweiswürdigung stellte das kantonale Gericht auf die gutachterlich begründete Einschätzung der Leistungsfähigkeit in der nicht optimal angepassten Verweistätigkeit ab, in welcher laut SMAB-Gutachten eine Arbeitsfähigkeit von 60% bestehe.</w:t>
      </w:r>
    </w:p>
    <w:p>
      <w:r>
        <w:rPr>
          <w:b/>
        </w:rPr>
        <w:t>E. 6.3</w:t>
      </w:r>
    </w:p>
    <w:p>
      <w:r>
        <w:t>Diese vorinstanzliche Tatsachenfeststellung verletzt Bundesrecht. Dem SMAB-Gutachten sind keine Anhaltspunkte dafür zu entnehmen, dass die Verwertung einer 100%-igen Arbeitsfähigkeit in Bezug auf eine optimal angepasste - faktisch funktionell linkshändig zu verrichtende - Tätigkeit ohne übermässige Gelenksbelastung nur unter zusätzlichen Einschränkungen und mit Vorbehalten zumutbar wäre. Wie von der Beschwerdeführerin geltend gemacht, bestehen nach konstanter Rechtsprechung auf dem hypothetisch ausgeglichenen Arbeitsmarkt genügend realistische Betätigungsmöglichkeiten auch für Personen, die funktionell als Einarmige zu betrachten sind und überdies nur noch leichte Arbeit verrichten können (SVR 2017 IV Nr. 20 S. 53, 8C_451/2016 E. 5.1 sowie Urteile 8C_462/2020 vom 27. August 2020 E. 5.1; 8C_134/2020 vom 29. April 2020 E. 4.5; 8C_227/2018 vom 14. Juni 2018 E. 4.2.1; 8C_37/2016 vom 8. Juli 2016 E. 5.1.2; je mit Hinweis). Die Vorinstanz legte nicht dar, und es ist nicht ersichtlich, weshalb diese Rechtsprechung mit Blick auf die massgebende und beweiskräftige Beurteilung der Leistungsfähigkeit gemäss SMAB-Gutachten im Falle des Beschwerdegegners nicht anwendbar sein sollte. Es mag zutreffen, dass ihm ein relativ breiteres Spektrum an zumutbaren Betätigungsmöglichkeiten offen stünde, wenn er bei Verwertung der Restarbeitsfähigkeit die unfallbedingt geschädigte Hand noch als Hilfshand respektive Stabilisierungsinstrument einsetzen könnte. Da jedoch bei einer solchen Verweistätigkeit laut SMAB-Gutachten - im Gegensatz zu einer optimal leidensangepassten Tätigkeit - mit einem erhöhten Pausenbedarf und daher mit einer Einschränkung der Arbeitsfähigkeit von 40% zu rechnen wäre, ist darauf nicht abzustellen.</w:t>
      </w:r>
    </w:p>
    <w:p>
      <w:r>
        <w:rPr>
          <w:b/>
        </w:rPr>
        <w:t>E. 6.4</w:t>
      </w:r>
    </w:p>
    <w:p>
      <w:r>
        <w:t>Nach dem Gesagten steht fest, dass dem Beschwerdegegner gestützt auf das SMAB-Gutachten eine optimal leidensangepasste Tätigkeit ohne Beanspruchung der rechten Hand bzw. übermässige Gelenkbelastung bei voller Arbeitsfähigkeit zumutbar ist. Indem das kantonale Gericht - trotz voller Beweiskraft des SMAB-Gutachtens - nicht auf die entsprechend ausgewiesene Leistungsfähigkeit in einer optimal leidensangepassten Verweistätigkeit abstellte, verletzte es Bundesrecht. Mit Blick auf die gemäss angefochtenem Entscheid unbestrittene Festsetzung der beiden Vergleichseinkommen resultiert - wie von der SWICA verfügt und mit Einspracheentscheid vom 16. Januar 2020 bestätigt - auch unter Berücksichtung des praxisgemäss maximal zulässigen Tabellenlohnabzuges keine unfallbedingte Erwerbseinbusse von mindestens 10% ( Art. 18 Abs. 1 UVG ). Demnach ist die revisionsweise Rentenaufhebung per 31. August 2019 nicht als bundesrechtswidrig zu beanstanden.</w:t>
      </w:r>
    </w:p>
    <w:p>
      <w:r>
        <w:rPr>
          <w:b/>
        </w:rPr>
        <w:t>E. 6.5</w:t>
      </w:r>
    </w:p>
    <w:p>
      <w:r>
        <w:t>Der angefochtene Entscheid, welcher ohne Begründung von der konstanten Rechtsprechung (E. 6.3) abweicht, ist bundesrechtswidrig und folglich aufzuheben.</w:t>
      </w:r>
    </w:p>
    <w:p>
      <w:r>
        <w:rPr>
          <w:b/>
        </w:rPr>
        <w:t>E. 7</w:t>
      </w:r>
    </w:p>
    <w:p>
      <w:r>
        <w:t>Das Verfahren ist kostenpflichtig. Der unterliegende Beschwerdegegner hat die Gerichtskosten zu tragen ( Art. 66 Abs. 1 BGG ). Dem Gesuch um unentgeltliche Rechtspflege (im Sinne der vorläufigen Befreiung von den Gerichtskosten und der unentgeltlichen Rechtsvertretung) kann entsprochen werden, da die entsprechenden Voraussetzungen erfüllt sind ( Art. 64 Abs. 1 und 2 BGG ; BGE 125 V 201 E. 4a). Der Beschwerdegegner hat jedoch der Bundesgerichtskasse Ersatz zu leisten, wenn er später dazu in der Lage ist ( Art. 64 Abs. 4 BGG ). Die SWICA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