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23/2018 vom 10. September 2018</w:t>
      </w:r>
    </w:p>
    <w:p>
      <w:r>
        <w:t>Bundesgericht, 2018-09-10, DE</w:t>
      </w:r>
    </w:p>
    <w:p>
      <w:r>
        <w:rPr>
          <w:b/>
        </w:rPr>
        <w:t xml:space="preserve">Quelle: </w:t>
      </w:r>
      <w:r>
        <w:t>https://mcp.opencaselaw.ch/entscheid/bger_8C_23_2018</w:t>
      </w:r>
    </w:p>
    <w:p>
      <w:r>
        <w:t>FR: TF 8C 23/2018 du 10 septembre 2018</w:t>
      </w:r>
    </w:p>
    <w:p>
      <w:r>
        <w:t>IT: TF 8C 23/2018 del 10 settembre 2018</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der im Gutachten der SMAB AG vom 8. Dezember 2016 diagnostizierten psychischen Gesundheitsstörung (mittelgradige Depression [ICD-10 F32.1] mit 30%iger Arbeitsunfähigkeit keine invalidisierende Wirkung zuerkannt und einen Rentenanspruch verneint hat. Nicht bestritten ist die vorinstanzliche Feststellung, aus somatischer Sicht bestehe keine Einschränkung. Jedoch stellt sich diesbezüglich die Frage, ob sich die Herzerkrankung im zu beurteilenden Zeitpunkt bei Erlass der Verfügung der IV-Stelle vom 26. Mai 2017 negativ auf den psychischen Gesundheitszustand ausgewirkt hatte.</w:t>
      </w:r>
    </w:p>
    <w:p>
      <w:r>
        <w:rPr>
          <w:b/>
        </w:rPr>
        <w:t>E. 2.2</w:t>
      </w:r>
    </w:p>
    <w:p>
      <w:r>
        <w:t>Die Vorinstanz ist gestützt auf die medizinischen Akten davon ausgegangen, dass die diagnostizierte mittelgradige Depression unbestritten sei. Ein invalidisierender Gesundheitsschaden sei nach der Rechtsprechung des Bundesgerichts zu verneinen, da keine Therapieresistenz ausgewiesen sei.</w:t>
      </w:r>
    </w:p>
    <w:p>
      <w:r>
        <w:rPr>
          <w:b/>
        </w:rPr>
        <w:t>E. 2.3</w:t>
      </w:r>
    </w:p>
    <w:p>
      <w:r>
        <w:t>Der Beschwerdeführer wendet ein, die Begründung der Vorinstanz sei seit der Publikation von BGE 143 V 409 (Urteil 8C_841/2016 vom 30. November 2017) und BGE 143 V 418 (Urteil 8C_130/2017 vom 30. November 2017) nicht mehr haltbar, und es sei ein indikatorengeleitetes Beweisverfahren gemäss BGE 141 V 281 E. 4.1.3 S. 297 f. durchzuführen. Indem das kantonale Gericht darauf verzichtet und aufgrund der fehlenden Therapieresistenz einen invalidisierenden Gesundheitsschaden ausgeschlossen habe, habe es Bundesrecht verletzt. Da das Gutachten der SMAB AG nicht als Grundlage für eine Indikatorenprüfung ausreiche, sei eine neue medizinische Expertise einzuholen oder zumindest das bestehende Gutachten ergänzen zu lassen.</w:t>
      </w:r>
    </w:p>
    <w:p>
      <w:r>
        <w:rPr>
          <w:b/>
        </w:rPr>
        <w:t>E. 3</w:t>
      </w:r>
    </w:p>
    <w:p>
      <w:r>
        <w:t>Die Vorinstanz konnte bei Erlass des angefochtenen Entscheids vom 22. November 2017 zwar keine Kenntnis haben von der mit BGE 143 V 409 und 418 geänderten Rechtsprechung. Jedoch ist festzustellen, dass neu die Therapierbarkeit eines psychischen Leidens allein keine abschliessende Aussage mehr hinsichtlich des Gesamtmasses der gesundheitlichen Beeinträchtigungen und deren Auswirkungen im invalidenversicherungsrechtlichen Kontext mehr zu liefern vermag. Weiter hat das Bundesgericht in den genannten Urteilen erkannt, dass neu sämtliche psychischen Erkrankungen, namentlich auch depressive Störungen leicht- bis mittelgradiger Natur, grundsätzlich einem strukturierten Beweisverfahren anhand eines Kataloges von Indikatoren nach BGE 141 V 281 zu unterziehen sind. Diese neue Rechtsprechung ist auf alle im Zeitpunkt der Praxisänderung noch nicht erledigten Fälle anzuwenden (Urteil 8C_756/2017 vom 7. März 2018 E. 4 mit weiterem Hinweis) und somit auch im vorliegenden Fall massgebend. Da hier noch kein solches Beweisverfahren stattgefunden hat und sich die Vorinstanz mit den massgebenden Standardindikatoren mangels Kenntnis der neuesten Rechtsprechung nicht hat auseinandersetzen können, ist die Beschwerde des Versicherten gutzuheissen. Der angefochtene Entscheid ist daher aufzuheben und die Sache an das kantonale Gericht zurückzuweisen, damit es, allenfalls nach weiteren medizinischen Abklärungen, über die vorinstanzliche Beschwerde neu entscheide.</w:t>
      </w:r>
    </w:p>
    <w:p>
      <w:r>
        <w:rPr>
          <w:b/>
        </w:rPr>
        <w:t>E. 4</w:t>
      </w:r>
    </w:p>
    <w:p>
      <w:r>
        <w:t>Die Gerichtskosten werden der IV-Stelle als unterliegender Partei auferlegt ( Art. 66 Abs. 1 BGG ). Sie hat den Beschwerdeführer angemessen zu entschädigen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