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8C_239/2026 vom 4. Mai 2026</w:t>
      </w:r>
    </w:p>
    <w:p>
      <w:r>
        <w:t>Bundesgericht, 2026-05-04, DE</w:t>
      </w:r>
    </w:p>
    <w:p>
      <w:r>
        <w:rPr>
          <w:b/>
        </w:rPr>
        <w:t xml:space="preserve">Quelle: </w:t>
      </w:r>
      <w:r>
        <w:t>https://mcp.opencaselaw.ch/entscheid/bger_8C_239_2026</w:t>
      </w:r>
    </w:p>
    <w:p>
      <w:r>
        <w:t>FR: TF 8C_239/2026 du 4 mai 2026</w:t>
      </w:r>
    </w:p>
    <w:p>
      <w:r>
        <w:t>IT: TF 8C_239/2026 del 4 maggio 2026</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aufzeigen, welche Vorschriften inwiefern von der Vorinstanz verletzt worden sein sollen ( BGE 134 V 53 E. 3.3 und 133 IV 286 E. 1.4). Ist ein Nichteintretensverfügung angefochten, setzt dies eine spezifische Auseinandersetzung mit den Nichteintretensgründen voraus ( BGE 123 V 335 ).</w:t>
      </w:r>
    </w:p>
    <w:p>
      <w:r>
        <w:rPr>
          <w:b/>
        </w:rPr>
        <w:t>E. 2</w:t>
      </w:r>
    </w:p>
    <w:p>
      <w:r>
        <w:t>Das kantonale Gericht trat mit Verfügung vom 9. März 2026 auf die als Beschwerde gegen die Begutachtung durch Dr. med. B.________ entgegengenommene Eingabe des A.________ vom 12. Januar 2026 nicht ein. Es fehle gegenwärtig an einem tauglichen Anfechtungsobjekt. Da der Beschwerdeführer Dr. med. B.________ als externen Gutachter ablehne, müsse die Beschwerdegegnerin zunächst einen Einigungsversuch im Sinne von Art. 7j Abs. 1 und 2 ATSV durchführen, bevor im Anschluss dazu je nach Ausgang des Einigungsverfahrens eine Zwischenverfügung nach Art. 44 Abs. 4 ATSG zu erlassen sei. Erst diese sei beim kantonalen Gericht anfechtbar. Soweit der Beschwerdeführer anderes anfechten wolle, fehle es hierfür ebenfalls an einem Anfechtungsgegenstand.</w:t>
      </w:r>
    </w:p>
    <w:p>
      <w:r>
        <w:rPr>
          <w:b/>
        </w:rPr>
        <w:t>E. 3</w:t>
      </w:r>
    </w:p>
    <w:p>
      <w:r>
        <w:t>Inwiefern das vorinstanzliche Nichteintreten rechtsfehlerhaft sein soll, legt der Beschwerdeführer in keiner seiner zahlreich eingereichten Eingaben dar. Allein ausserhalb davon Liegendes vorzutragen, zielt an der Sache vorbei.</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 Bei ähnlicher Beschwerdeführung darf inskünftig indessen nicht mehr mit dieser Rechtswohltat gerechnet werden.</w:t>
      </w:r>
    </w:p>
    <w:p>
      <w:r>
        <w:rPr>
          <w:b/>
        </w:rPr>
        <w:t>E. 6</w:t>
      </w:r>
    </w:p>
    <w:p>
      <w:r>
        <w:t>Das Gericht behält sich vor, weitere gleichartige Eingaben in dieser Angelegenheit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